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1385E437" w:rsidR="00017C2E" w:rsidRPr="000602D2"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600BF">
        <w:t xml:space="preserve">BaCuLit: Vermittlung bildungssprachlicher Lese- und Schreibkompetenzen im Fachunterricht. </w:t>
      </w:r>
      <w:r w:rsidR="008E4E99" w:rsidRPr="000602D2">
        <w:t>Ein Handbuch für Sekundarstufen und berufliche Bildung.</w:t>
      </w:r>
    </w:p>
    <w:p w14:paraId="656A491B" w14:textId="77777777" w:rsidR="00795E0E" w:rsidRPr="000602D2"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43FA6C24" w:rsidR="006A6148" w:rsidRPr="00562832" w:rsidRDefault="00562832" w:rsidP="00562832">
      <w:pPr>
        <w:pStyle w:val="Titel"/>
        <w:spacing w:line="240" w:lineRule="auto"/>
        <w:jc w:val="left"/>
        <w:rPr>
          <w:sz w:val="24"/>
          <w:szCs w:val="24"/>
        </w:rPr>
      </w:pPr>
      <w:proofErr w:type="spellStart"/>
      <w:r>
        <w:rPr>
          <w:sz w:val="30"/>
          <w:szCs w:val="30"/>
        </w:rPr>
        <w:t>BaCuLit</w:t>
      </w:r>
      <w:proofErr w:type="spellEnd"/>
      <w:r>
        <w:rPr>
          <w:sz w:val="30"/>
          <w:szCs w:val="30"/>
        </w:rPr>
        <w:t xml:space="preserve"> M9_3 </w:t>
      </w:r>
      <w:r w:rsidR="00F25AA7" w:rsidRPr="00562832">
        <w:rPr>
          <w:sz w:val="30"/>
          <w:szCs w:val="30"/>
        </w:rPr>
        <w:t xml:space="preserve">AB3: </w:t>
      </w:r>
      <w:r w:rsidR="0070061C" w:rsidRPr="00562832">
        <w:rPr>
          <w:sz w:val="30"/>
          <w:szCs w:val="30"/>
        </w:rPr>
        <w:t xml:space="preserve">Lesen </w:t>
      </w:r>
      <w:r w:rsidR="00D52821" w:rsidRPr="00562832">
        <w:rPr>
          <w:sz w:val="30"/>
          <w:szCs w:val="30"/>
        </w:rPr>
        <w:t xml:space="preserve">und Schreiben </w:t>
      </w:r>
      <w:r w:rsidR="0070061C" w:rsidRPr="00562832">
        <w:rPr>
          <w:sz w:val="30"/>
          <w:szCs w:val="30"/>
        </w:rPr>
        <w:t>– ein Problem aller Fächer. In 5 Schritten zum schulischen Lese</w:t>
      </w:r>
      <w:r w:rsidR="00D52821" w:rsidRPr="00562832">
        <w:rPr>
          <w:sz w:val="30"/>
          <w:szCs w:val="30"/>
        </w:rPr>
        <w:t>- und Schreib</w:t>
      </w:r>
      <w:r w:rsidR="0070061C" w:rsidRPr="00562832">
        <w:rPr>
          <w:sz w:val="30"/>
          <w:szCs w:val="30"/>
        </w:rPr>
        <w:t>förderkonzept</w:t>
      </w:r>
      <w:r w:rsidR="007F6285" w:rsidRPr="00562832">
        <w:rPr>
          <w:sz w:val="30"/>
          <w:szCs w:val="30"/>
        </w:rPr>
        <w:t xml:space="preserve"> </w:t>
      </w:r>
      <w:r w:rsidR="007F6285" w:rsidRPr="00562832">
        <w:rPr>
          <w:sz w:val="28"/>
          <w:szCs w:val="28"/>
        </w:rPr>
        <w:t>(Hörmann 2021)</w:t>
      </w:r>
    </w:p>
    <w:p w14:paraId="3D3FF69B" w14:textId="77777777" w:rsidR="00562832" w:rsidRDefault="00562832" w:rsidP="00562832">
      <w:pPr>
        <w:pStyle w:val="Funotentext"/>
        <w:spacing w:line="276" w:lineRule="auto"/>
        <w:jc w:val="left"/>
        <w:rPr>
          <w:rFonts w:asciiTheme="minorHAnsi" w:hAnsiTheme="minorHAnsi"/>
          <w:b/>
          <w:sz w:val="24"/>
          <w:szCs w:val="24"/>
        </w:rPr>
      </w:pPr>
      <w:r>
        <w:rPr>
          <w:rFonts w:asciiTheme="minorHAnsi" w:hAnsiTheme="minorHAnsi"/>
          <w:b/>
          <w:sz w:val="24"/>
          <w:szCs w:val="24"/>
        </w:rPr>
        <w:t>Aufgabe:</w:t>
      </w:r>
    </w:p>
    <w:p w14:paraId="59E46004" w14:textId="402030FD" w:rsidR="00562832" w:rsidRPr="00FE3607" w:rsidRDefault="00562832" w:rsidP="00562832">
      <w:pPr>
        <w:pStyle w:val="Funotentext"/>
        <w:spacing w:line="276" w:lineRule="auto"/>
        <w:rPr>
          <w:rFonts w:asciiTheme="minorHAnsi" w:hAnsiTheme="minorHAnsi"/>
          <w:bCs/>
          <w:sz w:val="24"/>
          <w:szCs w:val="24"/>
          <w:lang w:val="de-ES"/>
        </w:rPr>
      </w:pPr>
      <w:r w:rsidRPr="00FE3607">
        <w:rPr>
          <w:rFonts w:asciiTheme="minorHAnsi" w:hAnsiTheme="minorHAnsi"/>
          <w:bCs/>
          <w:sz w:val="24"/>
          <w:szCs w:val="24"/>
        </w:rPr>
        <w:t>Setzen Sie sich mit der vorgeschlagenen Methode einer Bestandsaufnahme zur Lese</w:t>
      </w:r>
      <w:r>
        <w:rPr>
          <w:rFonts w:asciiTheme="minorHAnsi" w:hAnsiTheme="minorHAnsi"/>
          <w:bCs/>
          <w:sz w:val="24"/>
          <w:szCs w:val="24"/>
        </w:rPr>
        <w:t>- und Schreib</w:t>
      </w:r>
      <w:r w:rsidRPr="00FE3607">
        <w:rPr>
          <w:rFonts w:asciiTheme="minorHAnsi" w:hAnsiTheme="minorHAnsi"/>
          <w:bCs/>
          <w:sz w:val="24"/>
          <w:szCs w:val="24"/>
        </w:rPr>
        <w:t>förderung an einer Schule auseinander und diskutieren Sie, welche Aspekte / Materialien dieses Vorschlages Sie für Ihre eigene Schule verwenden könnten</w:t>
      </w:r>
      <w:r>
        <w:rPr>
          <w:rFonts w:asciiTheme="minorHAnsi" w:hAnsiTheme="minorHAnsi"/>
          <w:bCs/>
          <w:sz w:val="24"/>
          <w:szCs w:val="24"/>
        </w:rPr>
        <w:t xml:space="preserve"> (30 Min.)</w:t>
      </w:r>
      <w:r w:rsidRPr="00FE3607">
        <w:rPr>
          <w:rFonts w:asciiTheme="minorHAnsi" w:hAnsiTheme="minorHAnsi"/>
          <w:bCs/>
          <w:sz w:val="24"/>
          <w:szCs w:val="24"/>
        </w:rPr>
        <w:t>. Stellen Sie die wichtigsten Aspekte des vorgeschlagenen Verfahrens und Ihrer Einschätzung anschließend in der Gesamtgruppe vor</w:t>
      </w:r>
      <w:r>
        <w:rPr>
          <w:rFonts w:asciiTheme="minorHAnsi" w:hAnsiTheme="minorHAnsi"/>
          <w:bCs/>
          <w:sz w:val="24"/>
          <w:szCs w:val="24"/>
        </w:rPr>
        <w:t xml:space="preserve"> (in max. 5 Min.)</w:t>
      </w:r>
      <w:r w:rsidRPr="00FE3607">
        <w:rPr>
          <w:rFonts w:asciiTheme="minorHAnsi" w:hAnsiTheme="minorHAnsi"/>
          <w:bCs/>
          <w:sz w:val="24"/>
          <w:szCs w:val="24"/>
        </w:rPr>
        <w:t>.</w:t>
      </w:r>
      <w:r w:rsidRPr="00FE3607">
        <w:rPr>
          <w:rFonts w:asciiTheme="minorHAnsi" w:hAnsiTheme="minorHAnsi"/>
          <w:bCs/>
          <w:sz w:val="24"/>
          <w:szCs w:val="24"/>
          <w:lang w:val="de-ES"/>
        </w:rPr>
        <w:t xml:space="preserve"> </w:t>
      </w:r>
    </w:p>
    <w:p w14:paraId="2FD800C8" w14:textId="1CE9F8A5" w:rsidR="00544FFD" w:rsidRDefault="00544FFD" w:rsidP="00E82601">
      <w:pPr>
        <w:pStyle w:val="Funotentext"/>
        <w:spacing w:line="276" w:lineRule="auto"/>
        <w:jc w:val="left"/>
        <w:rPr>
          <w:rFonts w:asciiTheme="minorHAnsi" w:hAnsiTheme="minorHAnsi"/>
          <w:b/>
          <w:sz w:val="24"/>
          <w:szCs w:val="24"/>
        </w:rPr>
      </w:pPr>
    </w:p>
    <w:p w14:paraId="56F49287" w14:textId="4912400D" w:rsidR="0070061C" w:rsidRDefault="0070061C" w:rsidP="0070061C">
      <w:r>
        <w:t xml:space="preserve">Das Konzept von Hörmann (2021) </w:t>
      </w:r>
      <w:r w:rsidR="00FD3A0C">
        <w:t xml:space="preserve">lehnt sich </w:t>
      </w:r>
      <w:r>
        <w:t xml:space="preserve">zwar </w:t>
      </w:r>
      <w:r w:rsidR="00FD3A0C">
        <w:t xml:space="preserve">an </w:t>
      </w:r>
      <w:r>
        <w:t xml:space="preserve">die bekannten </w:t>
      </w:r>
      <w:r w:rsidR="00FD3A0C">
        <w:t xml:space="preserve">Förderkonzepte von Krug &amp; Nix (2017) </w:t>
      </w:r>
      <w:r w:rsidR="007F6285">
        <w:t xml:space="preserve">und anderen </w:t>
      </w:r>
      <w:r w:rsidR="00FD3A0C">
        <w:t>an, fokussiert jedoch wesentlich stärker die individuellen Voraussetzungen eine</w:t>
      </w:r>
      <w:r w:rsidR="007F6285">
        <w:t>r Schule im Hinblick auf die Zusammensetzung des</w:t>
      </w:r>
      <w:r w:rsidR="00FD3A0C">
        <w:t xml:space="preserve"> Kollegiums und dessen Fachgruppen sowie der jeweiligen Schülerschaft. </w:t>
      </w:r>
      <w:r w:rsidR="007F6285">
        <w:t xml:space="preserve">Das </w:t>
      </w:r>
      <w:r w:rsidR="00FD3A0C" w:rsidRPr="007F6285">
        <w:t xml:space="preserve">Modell </w:t>
      </w:r>
      <w:r w:rsidR="007F6285" w:rsidRPr="007F6285">
        <w:t>zur Entwicklung eines schulischen Lese- und Schreibförder</w:t>
      </w:r>
      <w:r w:rsidR="007F6285">
        <w:softHyphen/>
      </w:r>
      <w:r w:rsidR="007F6285" w:rsidRPr="007F6285">
        <w:t>konzepts von Hörmann besteht aus</w:t>
      </w:r>
      <w:r w:rsidR="00FD3A0C" w:rsidRPr="007F6285">
        <w:t xml:space="preserve"> 5 Schritten,</w:t>
      </w:r>
      <w:r w:rsidR="00FD3A0C">
        <w:t xml:space="preserve"> </w:t>
      </w:r>
      <w:r w:rsidR="007F6285">
        <w:t xml:space="preserve">von denen hier im Hinblick auf die Bestandsaufnahme nur die Schritte 1 bis 3 vorgestellt werden. </w:t>
      </w:r>
    </w:p>
    <w:p w14:paraId="3DD5719F" w14:textId="77777777" w:rsidR="007D6B35" w:rsidRDefault="007D6B35" w:rsidP="0070061C"/>
    <w:p w14:paraId="6012EED7" w14:textId="0A46C033" w:rsidR="00FD3A0C" w:rsidRDefault="00FD3A0C" w:rsidP="00FD3A0C">
      <w:pPr>
        <w:pStyle w:val="berschrift1"/>
      </w:pPr>
      <w:r>
        <w:t>Schritt 1</w:t>
      </w:r>
    </w:p>
    <w:p w14:paraId="57480E1D" w14:textId="4074A7B8" w:rsidR="00FD3A0C" w:rsidRDefault="00FD3A0C" w:rsidP="00FD3A0C">
      <w:r>
        <w:t xml:space="preserve">Die Schulleitung erteilt basierend auf vorliegenden Ergebnissen eines Tests </w:t>
      </w:r>
      <w:r w:rsidR="00735022">
        <w:t xml:space="preserve">an die Schulentwicklungsgruppe </w:t>
      </w:r>
      <w:r>
        <w:t>den Auftrag, ein schulisches Lese</w:t>
      </w:r>
      <w:r w:rsidR="00D52821">
        <w:t>- und Schreib</w:t>
      </w:r>
      <w:r>
        <w:t>förderkonzept zu entwickeln</w:t>
      </w:r>
      <w:r w:rsidR="00445696">
        <w:t>. Deshalb findet eine Konferenz statt, in welcher der Entwicklungsauftrag vorgestellt und zur gemeinsamen Aufgabe aller Lehrkräfte ernannt wird.</w:t>
      </w:r>
    </w:p>
    <w:p w14:paraId="56531835" w14:textId="77777777" w:rsidR="007D6B35" w:rsidRDefault="007D6B35" w:rsidP="00FD3A0C"/>
    <w:p w14:paraId="1DDFE6F6" w14:textId="6D5B3A38" w:rsidR="00445696" w:rsidRDefault="00445696" w:rsidP="00445696">
      <w:pPr>
        <w:pStyle w:val="berschrift1"/>
      </w:pPr>
      <w:r>
        <w:t>Schritt 2</w:t>
      </w:r>
    </w:p>
    <w:p w14:paraId="5FD55CD8" w14:textId="5D2F6C85" w:rsidR="00445696" w:rsidRDefault="00445696" w:rsidP="00445696">
      <w:r>
        <w:t xml:space="preserve">Innerhalb einer Fachschaftssitzung bzw. einer Sitzung der jeweiligen Fachgruppen werden die Meinungen (also eben nicht Testergebnisse!) über den aktuellen Leistungsstand der Schülerinnen und Schüler gesammelt. Hieraus entsteht die Formulierung eines gemeinsamen Statements zum Entwicklungsstand im Fach </w:t>
      </w:r>
      <w:proofErr w:type="spellStart"/>
      <w:r>
        <w:t>xy</w:t>
      </w:r>
      <w:proofErr w:type="spellEnd"/>
      <w:r>
        <w:t>.</w:t>
      </w:r>
    </w:p>
    <w:p w14:paraId="17F240EC" w14:textId="75B190BB" w:rsidR="00445696" w:rsidRDefault="00445696" w:rsidP="00445696">
      <w:r>
        <w:t xml:space="preserve">Als zusätzliche Hilfe können hier Fragen mitgegeben werden, um die Diskussion voranzutreiben. Mögliche Fragestellungen hierfür fokussieren immer die </w:t>
      </w:r>
      <w:r w:rsidR="00D52821">
        <w:t xml:space="preserve">Schülerinnen und Schüler </w:t>
      </w:r>
      <w:r>
        <w:t>und den Unterricht:</w:t>
      </w:r>
    </w:p>
    <w:p w14:paraId="43B1545B" w14:textId="1C8E87B1" w:rsidR="00445696" w:rsidRDefault="00445696" w:rsidP="00445696">
      <w:r>
        <w:t>1.</w:t>
      </w:r>
      <w:r>
        <w:tab/>
        <w:t>In welchen Unterrichtsphasen benötigen meine Lernenden Lese</w:t>
      </w:r>
      <w:r w:rsidR="00D52821">
        <w:t>- und Schreib</w:t>
      </w:r>
      <w:r>
        <w:t>kompetenz?</w:t>
      </w:r>
    </w:p>
    <w:p w14:paraId="04FE10DC" w14:textId="26165AA1" w:rsidR="00445696" w:rsidRDefault="00445696" w:rsidP="00445696">
      <w:r>
        <w:lastRenderedPageBreak/>
        <w:t>2.</w:t>
      </w:r>
      <w:r>
        <w:tab/>
        <w:t>Wo liegen die größten Schwierigkeiten der Lernenden</w:t>
      </w:r>
      <w:r w:rsidR="00735022">
        <w:t xml:space="preserve"> im Lesen und Schreiben</w:t>
      </w:r>
      <w:r>
        <w:t>?</w:t>
      </w:r>
    </w:p>
    <w:p w14:paraId="4D77FDAA" w14:textId="0BB4D22C" w:rsidR="00445696" w:rsidRDefault="00445696" w:rsidP="00D52821">
      <w:pPr>
        <w:ind w:left="720" w:hanging="720"/>
      </w:pPr>
      <w:r>
        <w:t>3.</w:t>
      </w:r>
      <w:r>
        <w:tab/>
        <w:t>Welche Methoden oder Strategien der Lese</w:t>
      </w:r>
      <w:r w:rsidR="00D52821">
        <w:t>- und Schreib</w:t>
      </w:r>
      <w:r>
        <w:t>kompetenz vermittle ich in meinem Fach bereits?</w:t>
      </w:r>
    </w:p>
    <w:p w14:paraId="1B0309EE" w14:textId="77777777" w:rsidR="00735022" w:rsidRDefault="00445696" w:rsidP="00445696">
      <w:r>
        <w:t xml:space="preserve">Die Zusammenstellung der </w:t>
      </w:r>
      <w:r w:rsidR="00963047">
        <w:t xml:space="preserve">resultierenden Ergebnisse </w:t>
      </w:r>
      <w:r w:rsidR="00D52821">
        <w:t>erfolg</w:t>
      </w:r>
      <w:r w:rsidR="00735022">
        <w:t>t</w:t>
      </w:r>
      <w:r w:rsidR="00D52821">
        <w:t xml:space="preserve"> </w:t>
      </w:r>
      <w:r w:rsidR="00963047">
        <w:t xml:space="preserve">durch die Fachbetreuerinnen und Fachbetreuer, um die Fachschaft in den folgenden Prozess laufend einbeziehen zu können. </w:t>
      </w:r>
    </w:p>
    <w:p w14:paraId="0989ACC3" w14:textId="00781D27" w:rsidR="00963047" w:rsidRDefault="00963047" w:rsidP="00445696">
      <w:r>
        <w:t xml:space="preserve">Basierend auf den </w:t>
      </w:r>
      <w:proofErr w:type="spellStart"/>
      <w:r>
        <w:t>BaCuLit</w:t>
      </w:r>
      <w:proofErr w:type="spellEnd"/>
      <w:r>
        <w:t>-Modulen könnte die Zusammenstellung beispielsweise Folgendes beinhalten:</w:t>
      </w:r>
    </w:p>
    <w:tbl>
      <w:tblPr>
        <w:tblStyle w:val="Tabellenraster"/>
        <w:tblW w:w="0" w:type="auto"/>
        <w:tblLayout w:type="fixed"/>
        <w:tblLook w:val="04A0" w:firstRow="1" w:lastRow="0" w:firstColumn="1" w:lastColumn="0" w:noHBand="0" w:noVBand="1"/>
      </w:tblPr>
      <w:tblGrid>
        <w:gridCol w:w="562"/>
        <w:gridCol w:w="1079"/>
        <w:gridCol w:w="1213"/>
        <w:gridCol w:w="1213"/>
        <w:gridCol w:w="1213"/>
        <w:gridCol w:w="1213"/>
        <w:gridCol w:w="1213"/>
        <w:gridCol w:w="1214"/>
      </w:tblGrid>
      <w:tr w:rsidR="004505A5" w:rsidRPr="00566B09" w14:paraId="30E4B73C" w14:textId="0C02E9B8" w:rsidTr="00C27183">
        <w:trPr>
          <w:trHeight w:val="932"/>
        </w:trPr>
        <w:tc>
          <w:tcPr>
            <w:tcW w:w="562" w:type="dxa"/>
          </w:tcPr>
          <w:p w14:paraId="03520C12" w14:textId="60B7D83A" w:rsidR="004505A5" w:rsidRPr="00566B09" w:rsidRDefault="00C27183" w:rsidP="00C27183">
            <w:pPr>
              <w:tabs>
                <w:tab w:val="left" w:pos="6372"/>
              </w:tabs>
              <w:spacing w:beforeLines="60" w:before="144" w:line="240" w:lineRule="auto"/>
              <w:rPr>
                <w:b/>
              </w:rPr>
            </w:pPr>
            <w:r>
              <w:rPr>
                <w:b/>
              </w:rPr>
              <w:t>Kl.</w:t>
            </w:r>
          </w:p>
        </w:tc>
        <w:tc>
          <w:tcPr>
            <w:tcW w:w="1079" w:type="dxa"/>
          </w:tcPr>
          <w:p w14:paraId="7DA5B1FA" w14:textId="78BD60A3" w:rsidR="004505A5" w:rsidRPr="004505A5" w:rsidRDefault="004505A5" w:rsidP="004505A5">
            <w:pPr>
              <w:tabs>
                <w:tab w:val="left" w:pos="6372"/>
              </w:tabs>
              <w:spacing w:line="240" w:lineRule="auto"/>
              <w:jc w:val="left"/>
              <w:rPr>
                <w:sz w:val="18"/>
                <w:szCs w:val="18"/>
              </w:rPr>
            </w:pPr>
            <w:r w:rsidRPr="004505A5">
              <w:rPr>
                <w:sz w:val="18"/>
                <w:szCs w:val="18"/>
              </w:rPr>
              <w:t xml:space="preserve">Kenntnis von </w:t>
            </w:r>
            <w:proofErr w:type="spellStart"/>
            <w:r w:rsidRPr="004505A5">
              <w:rPr>
                <w:sz w:val="18"/>
                <w:szCs w:val="18"/>
              </w:rPr>
              <w:t>Fachvoka</w:t>
            </w:r>
            <w:r w:rsidR="00C27183">
              <w:rPr>
                <w:sz w:val="18"/>
                <w:szCs w:val="18"/>
              </w:rPr>
              <w:t>-</w:t>
            </w:r>
            <w:r w:rsidRPr="004505A5">
              <w:rPr>
                <w:sz w:val="18"/>
                <w:szCs w:val="18"/>
              </w:rPr>
              <w:t>bular</w:t>
            </w:r>
            <w:proofErr w:type="spellEnd"/>
            <w:r w:rsidRPr="004505A5">
              <w:rPr>
                <w:sz w:val="18"/>
                <w:szCs w:val="18"/>
              </w:rPr>
              <w:t xml:space="preserve"> (auch in der aktiven </w:t>
            </w:r>
            <w:proofErr w:type="spellStart"/>
            <w:r w:rsidRPr="004505A5">
              <w:rPr>
                <w:sz w:val="18"/>
                <w:szCs w:val="18"/>
              </w:rPr>
              <w:t>Anwen</w:t>
            </w:r>
            <w:proofErr w:type="spellEnd"/>
            <w:r w:rsidR="00C27183">
              <w:rPr>
                <w:sz w:val="18"/>
                <w:szCs w:val="18"/>
              </w:rPr>
              <w:t>-</w:t>
            </w:r>
            <w:r w:rsidRPr="004505A5">
              <w:rPr>
                <w:sz w:val="18"/>
                <w:szCs w:val="18"/>
              </w:rPr>
              <w:t>dung)</w:t>
            </w:r>
          </w:p>
        </w:tc>
        <w:tc>
          <w:tcPr>
            <w:tcW w:w="1213" w:type="dxa"/>
          </w:tcPr>
          <w:p w14:paraId="58A9C0CD" w14:textId="5C8C8751" w:rsidR="004505A5" w:rsidRPr="004505A5" w:rsidRDefault="004505A5" w:rsidP="004505A5">
            <w:pPr>
              <w:tabs>
                <w:tab w:val="left" w:pos="6372"/>
              </w:tabs>
              <w:spacing w:line="240" w:lineRule="auto"/>
              <w:jc w:val="left"/>
              <w:rPr>
                <w:sz w:val="18"/>
                <w:szCs w:val="18"/>
              </w:rPr>
            </w:pPr>
            <w:r w:rsidRPr="004505A5">
              <w:rPr>
                <w:sz w:val="18"/>
                <w:szCs w:val="18"/>
              </w:rPr>
              <w:t>Textsorten-kompetenz (in Analyse und Produktion)</w:t>
            </w:r>
          </w:p>
        </w:tc>
        <w:tc>
          <w:tcPr>
            <w:tcW w:w="1213" w:type="dxa"/>
          </w:tcPr>
          <w:p w14:paraId="0356687F" w14:textId="61B8BB83" w:rsidR="004505A5" w:rsidRPr="004505A5" w:rsidRDefault="004505A5" w:rsidP="004505A5">
            <w:pPr>
              <w:tabs>
                <w:tab w:val="left" w:pos="6372"/>
              </w:tabs>
              <w:spacing w:line="240" w:lineRule="auto"/>
              <w:jc w:val="left"/>
              <w:rPr>
                <w:sz w:val="18"/>
                <w:szCs w:val="18"/>
              </w:rPr>
            </w:pPr>
            <w:r w:rsidRPr="004505A5">
              <w:rPr>
                <w:sz w:val="18"/>
                <w:szCs w:val="18"/>
              </w:rPr>
              <w:t xml:space="preserve">Kenntnis </w:t>
            </w:r>
            <w:r w:rsidR="00D52821">
              <w:rPr>
                <w:sz w:val="18"/>
                <w:szCs w:val="18"/>
              </w:rPr>
              <w:t xml:space="preserve">und Anwendung </w:t>
            </w:r>
            <w:r w:rsidRPr="004505A5">
              <w:rPr>
                <w:sz w:val="18"/>
                <w:szCs w:val="18"/>
              </w:rPr>
              <w:t>von (meta-)</w:t>
            </w:r>
            <w:r>
              <w:rPr>
                <w:sz w:val="18"/>
                <w:szCs w:val="18"/>
              </w:rPr>
              <w:t xml:space="preserve"> </w:t>
            </w:r>
            <w:r w:rsidRPr="004505A5">
              <w:rPr>
                <w:sz w:val="18"/>
                <w:szCs w:val="18"/>
              </w:rPr>
              <w:t xml:space="preserve">kognitiven </w:t>
            </w:r>
            <w:proofErr w:type="spellStart"/>
            <w:r w:rsidRPr="004505A5">
              <w:rPr>
                <w:sz w:val="18"/>
                <w:szCs w:val="18"/>
              </w:rPr>
              <w:t>Lesestrate</w:t>
            </w:r>
            <w:proofErr w:type="spellEnd"/>
            <w:r>
              <w:rPr>
                <w:sz w:val="18"/>
                <w:szCs w:val="18"/>
              </w:rPr>
              <w:t>-</w:t>
            </w:r>
            <w:r w:rsidRPr="004505A5">
              <w:rPr>
                <w:sz w:val="18"/>
                <w:szCs w:val="18"/>
              </w:rPr>
              <w:t>gien</w:t>
            </w:r>
          </w:p>
        </w:tc>
        <w:tc>
          <w:tcPr>
            <w:tcW w:w="1213" w:type="dxa"/>
          </w:tcPr>
          <w:p w14:paraId="24F37275" w14:textId="0EB06A15" w:rsidR="004505A5" w:rsidRPr="004505A5" w:rsidRDefault="004505A5" w:rsidP="004505A5">
            <w:pPr>
              <w:tabs>
                <w:tab w:val="left" w:pos="6372"/>
              </w:tabs>
              <w:spacing w:line="240" w:lineRule="auto"/>
              <w:jc w:val="left"/>
              <w:rPr>
                <w:sz w:val="18"/>
                <w:szCs w:val="18"/>
              </w:rPr>
            </w:pPr>
            <w:r w:rsidRPr="004505A5">
              <w:rPr>
                <w:sz w:val="18"/>
                <w:szCs w:val="18"/>
              </w:rPr>
              <w:t xml:space="preserve">Kenntnis </w:t>
            </w:r>
            <w:r w:rsidR="00D52821">
              <w:rPr>
                <w:sz w:val="18"/>
                <w:szCs w:val="18"/>
              </w:rPr>
              <w:t xml:space="preserve">und Anwendung </w:t>
            </w:r>
            <w:r w:rsidRPr="004505A5">
              <w:rPr>
                <w:sz w:val="18"/>
                <w:szCs w:val="18"/>
              </w:rPr>
              <w:t>von (meta-)</w:t>
            </w:r>
            <w:r>
              <w:rPr>
                <w:sz w:val="18"/>
                <w:szCs w:val="18"/>
              </w:rPr>
              <w:t xml:space="preserve"> </w:t>
            </w:r>
            <w:r w:rsidRPr="004505A5">
              <w:rPr>
                <w:sz w:val="18"/>
                <w:szCs w:val="18"/>
              </w:rPr>
              <w:t xml:space="preserve">kognitiven </w:t>
            </w:r>
            <w:proofErr w:type="spellStart"/>
            <w:r w:rsidRPr="004505A5">
              <w:rPr>
                <w:sz w:val="18"/>
                <w:szCs w:val="18"/>
              </w:rPr>
              <w:t>Schreibstra</w:t>
            </w:r>
            <w:r>
              <w:rPr>
                <w:sz w:val="18"/>
                <w:szCs w:val="18"/>
              </w:rPr>
              <w:t>-</w:t>
            </w:r>
            <w:r w:rsidRPr="004505A5">
              <w:rPr>
                <w:sz w:val="18"/>
                <w:szCs w:val="18"/>
              </w:rPr>
              <w:t>tegien</w:t>
            </w:r>
            <w:proofErr w:type="spellEnd"/>
          </w:p>
        </w:tc>
        <w:tc>
          <w:tcPr>
            <w:tcW w:w="1213" w:type="dxa"/>
          </w:tcPr>
          <w:p w14:paraId="2A7AAD53" w14:textId="5D3D39E7" w:rsidR="004505A5" w:rsidRPr="004505A5" w:rsidRDefault="004505A5" w:rsidP="004505A5">
            <w:pPr>
              <w:tabs>
                <w:tab w:val="left" w:pos="6372"/>
              </w:tabs>
              <w:spacing w:line="240" w:lineRule="auto"/>
              <w:jc w:val="left"/>
              <w:rPr>
                <w:sz w:val="18"/>
                <w:szCs w:val="18"/>
              </w:rPr>
            </w:pPr>
            <w:r w:rsidRPr="004505A5">
              <w:rPr>
                <w:sz w:val="18"/>
                <w:szCs w:val="18"/>
              </w:rPr>
              <w:t xml:space="preserve">Förderung von </w:t>
            </w:r>
            <w:r w:rsidR="00735022">
              <w:rPr>
                <w:sz w:val="18"/>
                <w:szCs w:val="18"/>
              </w:rPr>
              <w:t xml:space="preserve">Lernenden </w:t>
            </w:r>
            <w:r w:rsidRPr="004505A5">
              <w:rPr>
                <w:sz w:val="18"/>
                <w:szCs w:val="18"/>
              </w:rPr>
              <w:t>mit Migrations</w:t>
            </w:r>
            <w:r>
              <w:rPr>
                <w:sz w:val="18"/>
                <w:szCs w:val="18"/>
              </w:rPr>
              <w:t>-</w:t>
            </w:r>
            <w:r w:rsidRPr="004505A5">
              <w:rPr>
                <w:sz w:val="18"/>
                <w:szCs w:val="18"/>
              </w:rPr>
              <w:t>hintergrund</w:t>
            </w:r>
          </w:p>
        </w:tc>
        <w:tc>
          <w:tcPr>
            <w:tcW w:w="1213" w:type="dxa"/>
          </w:tcPr>
          <w:p w14:paraId="3F58132F" w14:textId="0929E2A6" w:rsidR="004505A5" w:rsidRPr="004505A5" w:rsidRDefault="004505A5" w:rsidP="004505A5">
            <w:pPr>
              <w:tabs>
                <w:tab w:val="left" w:pos="6372"/>
              </w:tabs>
              <w:spacing w:line="240" w:lineRule="auto"/>
              <w:jc w:val="left"/>
              <w:rPr>
                <w:sz w:val="18"/>
                <w:szCs w:val="18"/>
              </w:rPr>
            </w:pPr>
            <w:proofErr w:type="spellStart"/>
            <w:r w:rsidRPr="004505A5">
              <w:rPr>
                <w:sz w:val="18"/>
                <w:szCs w:val="18"/>
              </w:rPr>
              <w:t>Lesemotiva</w:t>
            </w:r>
            <w:r>
              <w:rPr>
                <w:sz w:val="18"/>
                <w:szCs w:val="18"/>
              </w:rPr>
              <w:t>-</w:t>
            </w:r>
            <w:r w:rsidRPr="004505A5">
              <w:rPr>
                <w:sz w:val="18"/>
                <w:szCs w:val="18"/>
              </w:rPr>
              <w:t>tion</w:t>
            </w:r>
            <w:proofErr w:type="spellEnd"/>
            <w:r w:rsidRPr="004505A5">
              <w:rPr>
                <w:sz w:val="18"/>
                <w:szCs w:val="18"/>
              </w:rPr>
              <w:t xml:space="preserve"> und </w:t>
            </w:r>
            <w:proofErr w:type="spellStart"/>
            <w:r w:rsidRPr="004505A5">
              <w:rPr>
                <w:sz w:val="18"/>
                <w:szCs w:val="18"/>
              </w:rPr>
              <w:t>eigenständi</w:t>
            </w:r>
            <w:r>
              <w:rPr>
                <w:sz w:val="18"/>
                <w:szCs w:val="18"/>
              </w:rPr>
              <w:t>-</w:t>
            </w:r>
            <w:r w:rsidRPr="004505A5">
              <w:rPr>
                <w:sz w:val="18"/>
                <w:szCs w:val="18"/>
              </w:rPr>
              <w:t>ges</w:t>
            </w:r>
            <w:proofErr w:type="spellEnd"/>
            <w:r w:rsidRPr="004505A5">
              <w:rPr>
                <w:sz w:val="18"/>
                <w:szCs w:val="18"/>
              </w:rPr>
              <w:t xml:space="preserve"> Lesen</w:t>
            </w:r>
          </w:p>
        </w:tc>
        <w:tc>
          <w:tcPr>
            <w:tcW w:w="1214" w:type="dxa"/>
          </w:tcPr>
          <w:p w14:paraId="66CCEFAA" w14:textId="26E8B4C0" w:rsidR="004505A5" w:rsidRPr="004505A5" w:rsidRDefault="004505A5" w:rsidP="004505A5">
            <w:pPr>
              <w:tabs>
                <w:tab w:val="left" w:pos="6372"/>
              </w:tabs>
              <w:spacing w:line="240" w:lineRule="auto"/>
              <w:jc w:val="left"/>
              <w:rPr>
                <w:sz w:val="18"/>
                <w:szCs w:val="18"/>
              </w:rPr>
            </w:pPr>
            <w:r w:rsidRPr="004505A5">
              <w:rPr>
                <w:sz w:val="18"/>
                <w:szCs w:val="18"/>
              </w:rPr>
              <w:t xml:space="preserve">Diagnostik und Förderung von Lese- und </w:t>
            </w:r>
            <w:proofErr w:type="spellStart"/>
            <w:r w:rsidRPr="004505A5">
              <w:rPr>
                <w:sz w:val="18"/>
                <w:szCs w:val="18"/>
              </w:rPr>
              <w:t>Schreibkom</w:t>
            </w:r>
            <w:r>
              <w:rPr>
                <w:sz w:val="18"/>
                <w:szCs w:val="18"/>
              </w:rPr>
              <w:t>-</w:t>
            </w:r>
            <w:r w:rsidRPr="004505A5">
              <w:rPr>
                <w:sz w:val="18"/>
                <w:szCs w:val="18"/>
              </w:rPr>
              <w:t>petenzen</w:t>
            </w:r>
            <w:proofErr w:type="spellEnd"/>
          </w:p>
        </w:tc>
      </w:tr>
      <w:tr w:rsidR="004505A5" w:rsidRPr="00566B09" w14:paraId="302EB264" w14:textId="5F1332F5" w:rsidTr="00C27183">
        <w:trPr>
          <w:trHeight w:val="227"/>
        </w:trPr>
        <w:tc>
          <w:tcPr>
            <w:tcW w:w="562" w:type="dxa"/>
          </w:tcPr>
          <w:p w14:paraId="5156455F" w14:textId="77777777" w:rsidR="004505A5" w:rsidRPr="00566B09" w:rsidRDefault="004505A5" w:rsidP="00C27183">
            <w:pPr>
              <w:tabs>
                <w:tab w:val="left" w:pos="6372"/>
              </w:tabs>
              <w:spacing w:beforeLines="60" w:before="144" w:line="240" w:lineRule="auto"/>
              <w:rPr>
                <w:b/>
              </w:rPr>
            </w:pPr>
            <w:r w:rsidRPr="00566B09">
              <w:rPr>
                <w:b/>
              </w:rPr>
              <w:t>5</w:t>
            </w:r>
          </w:p>
        </w:tc>
        <w:tc>
          <w:tcPr>
            <w:tcW w:w="1079" w:type="dxa"/>
          </w:tcPr>
          <w:p w14:paraId="75B03FC6" w14:textId="77777777" w:rsidR="004505A5" w:rsidRPr="004505A5" w:rsidRDefault="004505A5" w:rsidP="004505A5">
            <w:pPr>
              <w:tabs>
                <w:tab w:val="left" w:pos="6372"/>
              </w:tabs>
              <w:spacing w:line="240" w:lineRule="auto"/>
              <w:jc w:val="left"/>
              <w:rPr>
                <w:sz w:val="18"/>
                <w:szCs w:val="18"/>
              </w:rPr>
            </w:pPr>
          </w:p>
        </w:tc>
        <w:tc>
          <w:tcPr>
            <w:tcW w:w="1213" w:type="dxa"/>
          </w:tcPr>
          <w:p w14:paraId="058B8F36" w14:textId="77777777" w:rsidR="004505A5" w:rsidRPr="004505A5" w:rsidRDefault="004505A5" w:rsidP="004505A5">
            <w:pPr>
              <w:tabs>
                <w:tab w:val="left" w:pos="6372"/>
              </w:tabs>
              <w:spacing w:line="240" w:lineRule="auto"/>
              <w:jc w:val="left"/>
              <w:rPr>
                <w:sz w:val="18"/>
                <w:szCs w:val="18"/>
              </w:rPr>
            </w:pPr>
          </w:p>
        </w:tc>
        <w:tc>
          <w:tcPr>
            <w:tcW w:w="1213" w:type="dxa"/>
          </w:tcPr>
          <w:p w14:paraId="5601BCE5" w14:textId="77777777" w:rsidR="004505A5" w:rsidRPr="004505A5" w:rsidRDefault="004505A5" w:rsidP="004505A5">
            <w:pPr>
              <w:tabs>
                <w:tab w:val="left" w:pos="6372"/>
              </w:tabs>
              <w:spacing w:line="240" w:lineRule="auto"/>
              <w:jc w:val="left"/>
              <w:rPr>
                <w:sz w:val="18"/>
                <w:szCs w:val="18"/>
              </w:rPr>
            </w:pPr>
          </w:p>
        </w:tc>
        <w:tc>
          <w:tcPr>
            <w:tcW w:w="1213" w:type="dxa"/>
          </w:tcPr>
          <w:p w14:paraId="1BB87276" w14:textId="77777777" w:rsidR="004505A5" w:rsidRPr="004505A5" w:rsidRDefault="004505A5" w:rsidP="004505A5">
            <w:pPr>
              <w:tabs>
                <w:tab w:val="left" w:pos="6372"/>
              </w:tabs>
              <w:spacing w:line="240" w:lineRule="auto"/>
              <w:jc w:val="left"/>
              <w:rPr>
                <w:sz w:val="18"/>
                <w:szCs w:val="18"/>
              </w:rPr>
            </w:pPr>
          </w:p>
        </w:tc>
        <w:tc>
          <w:tcPr>
            <w:tcW w:w="1213" w:type="dxa"/>
          </w:tcPr>
          <w:p w14:paraId="0E0BE778" w14:textId="77777777" w:rsidR="004505A5" w:rsidRPr="004505A5" w:rsidRDefault="004505A5" w:rsidP="004505A5">
            <w:pPr>
              <w:tabs>
                <w:tab w:val="left" w:pos="6372"/>
              </w:tabs>
              <w:spacing w:line="240" w:lineRule="auto"/>
              <w:jc w:val="left"/>
              <w:rPr>
                <w:sz w:val="18"/>
                <w:szCs w:val="18"/>
              </w:rPr>
            </w:pPr>
          </w:p>
        </w:tc>
        <w:tc>
          <w:tcPr>
            <w:tcW w:w="1213" w:type="dxa"/>
          </w:tcPr>
          <w:p w14:paraId="79BBAED2" w14:textId="77777777" w:rsidR="004505A5" w:rsidRPr="004505A5" w:rsidRDefault="004505A5" w:rsidP="004505A5">
            <w:pPr>
              <w:tabs>
                <w:tab w:val="left" w:pos="6372"/>
              </w:tabs>
              <w:spacing w:line="240" w:lineRule="auto"/>
              <w:jc w:val="left"/>
              <w:rPr>
                <w:sz w:val="18"/>
                <w:szCs w:val="18"/>
              </w:rPr>
            </w:pPr>
          </w:p>
        </w:tc>
        <w:tc>
          <w:tcPr>
            <w:tcW w:w="1214" w:type="dxa"/>
          </w:tcPr>
          <w:p w14:paraId="7E96D7E9" w14:textId="77777777" w:rsidR="004505A5" w:rsidRPr="004505A5" w:rsidRDefault="004505A5" w:rsidP="004505A5">
            <w:pPr>
              <w:tabs>
                <w:tab w:val="left" w:pos="6372"/>
              </w:tabs>
              <w:spacing w:line="240" w:lineRule="auto"/>
              <w:jc w:val="left"/>
              <w:rPr>
                <w:sz w:val="18"/>
                <w:szCs w:val="18"/>
              </w:rPr>
            </w:pPr>
          </w:p>
        </w:tc>
      </w:tr>
      <w:tr w:rsidR="004505A5" w:rsidRPr="00566B09" w14:paraId="1DE98544" w14:textId="30CEF04F" w:rsidTr="00C27183">
        <w:trPr>
          <w:trHeight w:val="227"/>
        </w:trPr>
        <w:tc>
          <w:tcPr>
            <w:tcW w:w="562" w:type="dxa"/>
          </w:tcPr>
          <w:p w14:paraId="3CBD16EC" w14:textId="7B09CB60" w:rsidR="004505A5" w:rsidRPr="00C27183" w:rsidRDefault="00C27183" w:rsidP="00C27183">
            <w:pPr>
              <w:tabs>
                <w:tab w:val="left" w:pos="6372"/>
              </w:tabs>
              <w:spacing w:beforeLines="60" w:before="144" w:line="240" w:lineRule="auto"/>
              <w:rPr>
                <w:rFonts w:eastAsia="Calibri"/>
                <w:b/>
                <w:bCs/>
              </w:rPr>
            </w:pPr>
            <w:r w:rsidRPr="00C27183">
              <w:rPr>
                <w:rFonts w:eastAsia="Calibri"/>
                <w:b/>
                <w:bCs/>
              </w:rPr>
              <w:t>6</w:t>
            </w:r>
          </w:p>
        </w:tc>
        <w:tc>
          <w:tcPr>
            <w:tcW w:w="1079" w:type="dxa"/>
          </w:tcPr>
          <w:p w14:paraId="3D252EAE" w14:textId="77777777" w:rsidR="004505A5" w:rsidRPr="004505A5" w:rsidRDefault="004505A5" w:rsidP="004505A5">
            <w:pPr>
              <w:tabs>
                <w:tab w:val="left" w:pos="6372"/>
              </w:tabs>
              <w:spacing w:line="240" w:lineRule="auto"/>
              <w:jc w:val="left"/>
              <w:rPr>
                <w:rFonts w:eastAsia="Calibri"/>
                <w:sz w:val="18"/>
                <w:szCs w:val="18"/>
              </w:rPr>
            </w:pPr>
          </w:p>
        </w:tc>
        <w:tc>
          <w:tcPr>
            <w:tcW w:w="1213" w:type="dxa"/>
          </w:tcPr>
          <w:p w14:paraId="567CA5F9" w14:textId="77777777" w:rsidR="004505A5" w:rsidRPr="004505A5" w:rsidRDefault="004505A5" w:rsidP="004505A5">
            <w:pPr>
              <w:tabs>
                <w:tab w:val="left" w:pos="6372"/>
              </w:tabs>
              <w:spacing w:line="240" w:lineRule="auto"/>
              <w:jc w:val="left"/>
              <w:rPr>
                <w:rFonts w:eastAsia="Calibri"/>
                <w:sz w:val="18"/>
                <w:szCs w:val="18"/>
              </w:rPr>
            </w:pPr>
          </w:p>
        </w:tc>
        <w:tc>
          <w:tcPr>
            <w:tcW w:w="1213" w:type="dxa"/>
          </w:tcPr>
          <w:p w14:paraId="06F8165B" w14:textId="77777777" w:rsidR="004505A5" w:rsidRPr="004505A5" w:rsidRDefault="004505A5" w:rsidP="004505A5">
            <w:pPr>
              <w:tabs>
                <w:tab w:val="left" w:pos="6372"/>
              </w:tabs>
              <w:spacing w:line="240" w:lineRule="auto"/>
              <w:jc w:val="left"/>
              <w:rPr>
                <w:rFonts w:eastAsia="Calibri"/>
                <w:sz w:val="18"/>
                <w:szCs w:val="18"/>
              </w:rPr>
            </w:pPr>
          </w:p>
        </w:tc>
        <w:tc>
          <w:tcPr>
            <w:tcW w:w="1213" w:type="dxa"/>
          </w:tcPr>
          <w:p w14:paraId="767E4CD0" w14:textId="77777777" w:rsidR="004505A5" w:rsidRPr="004505A5" w:rsidRDefault="004505A5" w:rsidP="004505A5">
            <w:pPr>
              <w:tabs>
                <w:tab w:val="left" w:pos="6372"/>
              </w:tabs>
              <w:spacing w:line="240" w:lineRule="auto"/>
              <w:jc w:val="left"/>
              <w:rPr>
                <w:rFonts w:eastAsia="Calibri"/>
                <w:sz w:val="18"/>
                <w:szCs w:val="18"/>
              </w:rPr>
            </w:pPr>
          </w:p>
        </w:tc>
        <w:tc>
          <w:tcPr>
            <w:tcW w:w="1213" w:type="dxa"/>
          </w:tcPr>
          <w:p w14:paraId="6655CAC3" w14:textId="77777777" w:rsidR="004505A5" w:rsidRPr="004505A5" w:rsidRDefault="004505A5" w:rsidP="004505A5">
            <w:pPr>
              <w:tabs>
                <w:tab w:val="left" w:pos="6372"/>
              </w:tabs>
              <w:spacing w:line="240" w:lineRule="auto"/>
              <w:jc w:val="left"/>
              <w:rPr>
                <w:rFonts w:eastAsia="Calibri"/>
                <w:sz w:val="18"/>
                <w:szCs w:val="18"/>
              </w:rPr>
            </w:pPr>
          </w:p>
        </w:tc>
        <w:tc>
          <w:tcPr>
            <w:tcW w:w="1213" w:type="dxa"/>
          </w:tcPr>
          <w:p w14:paraId="045076C8" w14:textId="77777777" w:rsidR="004505A5" w:rsidRPr="004505A5" w:rsidRDefault="004505A5" w:rsidP="004505A5">
            <w:pPr>
              <w:tabs>
                <w:tab w:val="left" w:pos="6372"/>
              </w:tabs>
              <w:spacing w:line="240" w:lineRule="auto"/>
              <w:jc w:val="left"/>
              <w:rPr>
                <w:rFonts w:eastAsia="Calibri"/>
                <w:sz w:val="18"/>
                <w:szCs w:val="18"/>
              </w:rPr>
            </w:pPr>
          </w:p>
        </w:tc>
        <w:tc>
          <w:tcPr>
            <w:tcW w:w="1214" w:type="dxa"/>
          </w:tcPr>
          <w:p w14:paraId="0DE5DFDE" w14:textId="77777777" w:rsidR="004505A5" w:rsidRPr="004505A5" w:rsidRDefault="004505A5" w:rsidP="004505A5">
            <w:pPr>
              <w:tabs>
                <w:tab w:val="left" w:pos="6372"/>
              </w:tabs>
              <w:spacing w:line="240" w:lineRule="auto"/>
              <w:jc w:val="left"/>
              <w:rPr>
                <w:rFonts w:eastAsia="Calibri"/>
                <w:sz w:val="18"/>
                <w:szCs w:val="18"/>
              </w:rPr>
            </w:pPr>
          </w:p>
        </w:tc>
      </w:tr>
      <w:tr w:rsidR="00C27183" w:rsidRPr="00566B09" w14:paraId="08FD1C9A" w14:textId="77777777" w:rsidTr="00C27183">
        <w:trPr>
          <w:trHeight w:val="227"/>
        </w:trPr>
        <w:tc>
          <w:tcPr>
            <w:tcW w:w="562" w:type="dxa"/>
          </w:tcPr>
          <w:p w14:paraId="3ABE8C05" w14:textId="66E66B5B" w:rsidR="00C27183" w:rsidRPr="00C27183" w:rsidRDefault="00C27183" w:rsidP="00C27183">
            <w:pPr>
              <w:tabs>
                <w:tab w:val="left" w:pos="6372"/>
              </w:tabs>
              <w:spacing w:beforeLines="60" w:before="144" w:line="240" w:lineRule="auto"/>
              <w:jc w:val="left"/>
              <w:rPr>
                <w:rFonts w:eastAsia="Calibri"/>
                <w:b/>
                <w:bCs/>
              </w:rPr>
            </w:pPr>
            <w:r>
              <w:rPr>
                <w:rFonts w:eastAsia="Calibri"/>
                <w:b/>
                <w:bCs/>
              </w:rPr>
              <w:t>7…</w:t>
            </w:r>
          </w:p>
        </w:tc>
        <w:tc>
          <w:tcPr>
            <w:tcW w:w="1079" w:type="dxa"/>
          </w:tcPr>
          <w:p w14:paraId="3B0E7F66" w14:textId="77777777" w:rsidR="00C27183" w:rsidRPr="004505A5" w:rsidRDefault="00C27183" w:rsidP="004505A5">
            <w:pPr>
              <w:tabs>
                <w:tab w:val="left" w:pos="6372"/>
              </w:tabs>
              <w:spacing w:line="240" w:lineRule="auto"/>
              <w:jc w:val="left"/>
              <w:rPr>
                <w:rFonts w:eastAsia="Calibri"/>
                <w:sz w:val="18"/>
                <w:szCs w:val="18"/>
              </w:rPr>
            </w:pPr>
          </w:p>
        </w:tc>
        <w:tc>
          <w:tcPr>
            <w:tcW w:w="1213" w:type="dxa"/>
          </w:tcPr>
          <w:p w14:paraId="363A2EE4" w14:textId="77777777" w:rsidR="00C27183" w:rsidRPr="004505A5" w:rsidRDefault="00C27183" w:rsidP="004505A5">
            <w:pPr>
              <w:tabs>
                <w:tab w:val="left" w:pos="6372"/>
              </w:tabs>
              <w:spacing w:line="240" w:lineRule="auto"/>
              <w:jc w:val="left"/>
              <w:rPr>
                <w:rFonts w:eastAsia="Calibri"/>
                <w:sz w:val="18"/>
                <w:szCs w:val="18"/>
              </w:rPr>
            </w:pPr>
          </w:p>
        </w:tc>
        <w:tc>
          <w:tcPr>
            <w:tcW w:w="1213" w:type="dxa"/>
          </w:tcPr>
          <w:p w14:paraId="7125BB90" w14:textId="77777777" w:rsidR="00C27183" w:rsidRPr="004505A5" w:rsidRDefault="00C27183" w:rsidP="004505A5">
            <w:pPr>
              <w:tabs>
                <w:tab w:val="left" w:pos="6372"/>
              </w:tabs>
              <w:spacing w:line="240" w:lineRule="auto"/>
              <w:jc w:val="left"/>
              <w:rPr>
                <w:rFonts w:eastAsia="Calibri"/>
                <w:sz w:val="18"/>
                <w:szCs w:val="18"/>
              </w:rPr>
            </w:pPr>
          </w:p>
        </w:tc>
        <w:tc>
          <w:tcPr>
            <w:tcW w:w="1213" w:type="dxa"/>
          </w:tcPr>
          <w:p w14:paraId="4F99823E" w14:textId="77777777" w:rsidR="00C27183" w:rsidRPr="004505A5" w:rsidRDefault="00C27183" w:rsidP="004505A5">
            <w:pPr>
              <w:tabs>
                <w:tab w:val="left" w:pos="6372"/>
              </w:tabs>
              <w:spacing w:line="240" w:lineRule="auto"/>
              <w:jc w:val="left"/>
              <w:rPr>
                <w:rFonts w:eastAsia="Calibri"/>
                <w:sz w:val="18"/>
                <w:szCs w:val="18"/>
              </w:rPr>
            </w:pPr>
          </w:p>
        </w:tc>
        <w:tc>
          <w:tcPr>
            <w:tcW w:w="1213" w:type="dxa"/>
          </w:tcPr>
          <w:p w14:paraId="4F2652F9" w14:textId="77777777" w:rsidR="00C27183" w:rsidRPr="004505A5" w:rsidRDefault="00C27183" w:rsidP="004505A5">
            <w:pPr>
              <w:tabs>
                <w:tab w:val="left" w:pos="6372"/>
              </w:tabs>
              <w:spacing w:line="240" w:lineRule="auto"/>
              <w:jc w:val="left"/>
              <w:rPr>
                <w:rFonts w:eastAsia="Calibri"/>
                <w:sz w:val="18"/>
                <w:szCs w:val="18"/>
              </w:rPr>
            </w:pPr>
          </w:p>
        </w:tc>
        <w:tc>
          <w:tcPr>
            <w:tcW w:w="1213" w:type="dxa"/>
          </w:tcPr>
          <w:p w14:paraId="0C49FB1E" w14:textId="77777777" w:rsidR="00C27183" w:rsidRPr="004505A5" w:rsidRDefault="00C27183" w:rsidP="004505A5">
            <w:pPr>
              <w:tabs>
                <w:tab w:val="left" w:pos="6372"/>
              </w:tabs>
              <w:spacing w:line="240" w:lineRule="auto"/>
              <w:jc w:val="left"/>
              <w:rPr>
                <w:rFonts w:eastAsia="Calibri"/>
                <w:sz w:val="18"/>
                <w:szCs w:val="18"/>
              </w:rPr>
            </w:pPr>
          </w:p>
        </w:tc>
        <w:tc>
          <w:tcPr>
            <w:tcW w:w="1214" w:type="dxa"/>
          </w:tcPr>
          <w:p w14:paraId="0D336D84" w14:textId="77777777" w:rsidR="00C27183" w:rsidRPr="004505A5" w:rsidRDefault="00C27183" w:rsidP="004505A5">
            <w:pPr>
              <w:tabs>
                <w:tab w:val="left" w:pos="6372"/>
              </w:tabs>
              <w:spacing w:line="240" w:lineRule="auto"/>
              <w:jc w:val="left"/>
              <w:rPr>
                <w:rFonts w:eastAsia="Calibri"/>
                <w:sz w:val="18"/>
                <w:szCs w:val="18"/>
              </w:rPr>
            </w:pPr>
          </w:p>
        </w:tc>
      </w:tr>
    </w:tbl>
    <w:p w14:paraId="20DD77DD" w14:textId="3BCEB16E" w:rsidR="00735022" w:rsidRDefault="00735022" w:rsidP="00735022">
      <w:r>
        <w:t>In dieser Tabelle werden alle vorhandenen Inhalte eingetragen. Lücken werden gege</w:t>
      </w:r>
      <w:r w:rsidR="007F6285">
        <w:t>be</w:t>
      </w:r>
      <w:r>
        <w:t>nenfalls gelassen, ohne diese zu kommentieren, da es lediglich um die Erfassung des Ist-Standes geht.</w:t>
      </w:r>
    </w:p>
    <w:p w14:paraId="100C3D84" w14:textId="77777777" w:rsidR="007D6B35" w:rsidRDefault="007D6B35" w:rsidP="00735022"/>
    <w:p w14:paraId="757A0575" w14:textId="2056112C" w:rsidR="004505A5" w:rsidRPr="00566B09" w:rsidRDefault="004505A5" w:rsidP="004505A5">
      <w:pPr>
        <w:pStyle w:val="berschrift1"/>
      </w:pPr>
      <w:r w:rsidRPr="00566B09">
        <w:t xml:space="preserve">Schritt 3: </w:t>
      </w:r>
      <w:r>
        <w:t>P</w:t>
      </w:r>
      <w:r w:rsidRPr="00566B09">
        <w:t>ädagogische Konferenz</w:t>
      </w:r>
    </w:p>
    <w:p w14:paraId="7083B9BB" w14:textId="26E61B7D" w:rsidR="000D717D" w:rsidRDefault="004505A5" w:rsidP="00445696">
      <w:r>
        <w:t xml:space="preserve">Im Rahmen einer pädagogischen Konferenz werden die zusammengestellten Ergebnisse </w:t>
      </w:r>
      <w:r w:rsidR="00735022">
        <w:t xml:space="preserve">(hierfür müssen die Tabellen der Fachschaften in ein Gesamtdokument übertragen werden, im welchem die einzelnen Fächer erkennbar sind) </w:t>
      </w:r>
      <w:r>
        <w:t>allen Lehrkräften vorgestellt. Idealerweise schließt daran eine Gruppendiskussion über die Parallelen und Unterschiede der einzelnen Fachbereiche und Jahrgangs</w:t>
      </w:r>
      <w:r w:rsidR="00FC2ACD">
        <w:softHyphen/>
      </w:r>
      <w:r>
        <w:t xml:space="preserve">stufen an. </w:t>
      </w:r>
      <w:r w:rsidR="000D717D">
        <w:t>Geeignete Fragestellungen hierfür können sein:</w:t>
      </w:r>
    </w:p>
    <w:p w14:paraId="2D3177CB" w14:textId="173FE66A" w:rsidR="000D717D" w:rsidRDefault="000D717D" w:rsidP="000D717D">
      <w:pPr>
        <w:pStyle w:val="Listenabsatz"/>
        <w:numPr>
          <w:ilvl w:val="0"/>
          <w:numId w:val="30"/>
        </w:numPr>
      </w:pPr>
      <w:r>
        <w:t>Welche Methoden praktizieren bereits mehrere Kolleg</w:t>
      </w:r>
      <w:r w:rsidR="00C27183">
        <w:t>inn</w:t>
      </w:r>
      <w:r>
        <w:t>en</w:t>
      </w:r>
      <w:r w:rsidR="00C27183">
        <w:t xml:space="preserve"> und Kollegen</w:t>
      </w:r>
      <w:r>
        <w:t xml:space="preserve"> in einer Jahrgangsstufe?</w:t>
      </w:r>
    </w:p>
    <w:p w14:paraId="3E750333" w14:textId="1580E0AC" w:rsidR="000D717D" w:rsidRDefault="000D717D" w:rsidP="000D717D">
      <w:pPr>
        <w:pStyle w:val="Listenabsatz"/>
        <w:numPr>
          <w:ilvl w:val="0"/>
          <w:numId w:val="30"/>
        </w:numPr>
      </w:pPr>
      <w:r>
        <w:t>In welchen Bereichen findet noch keinerlei aktive Arbeit mit den Lernenden statt?</w:t>
      </w:r>
    </w:p>
    <w:p w14:paraId="0C37D578" w14:textId="50406932" w:rsidR="000D717D" w:rsidRDefault="000D717D" w:rsidP="000D717D">
      <w:pPr>
        <w:pStyle w:val="Listenabsatz"/>
        <w:numPr>
          <w:ilvl w:val="0"/>
          <w:numId w:val="30"/>
        </w:numPr>
      </w:pPr>
      <w:r>
        <w:t xml:space="preserve">Wo werden die größten Mängel gesehen? </w:t>
      </w:r>
    </w:p>
    <w:p w14:paraId="436B0831" w14:textId="0D94F7E4" w:rsidR="00544FFD" w:rsidRDefault="004505A5" w:rsidP="007D6B35">
      <w:r>
        <w:t>Im anschließenden Plenum werden die entstandenen Diskussionsergebnisse zusammen</w:t>
      </w:r>
      <w:r w:rsidR="004157C4">
        <w:t xml:space="preserve">getragen und gemeinsam priorisiert, erneut mit dem Ziel der aktiven Einbindung aller </w:t>
      </w:r>
      <w:r w:rsidR="00641915">
        <w:t>Lehrkräfte</w:t>
      </w:r>
      <w:r w:rsidR="004157C4">
        <w:t>.</w:t>
      </w:r>
    </w:p>
    <w:p w14:paraId="26F6AB23" w14:textId="6010383A" w:rsidR="000460BA" w:rsidRDefault="000460BA" w:rsidP="007D6B35"/>
    <w:p w14:paraId="6949F317" w14:textId="0723FF23" w:rsidR="000460BA" w:rsidRPr="000460BA" w:rsidRDefault="000460BA" w:rsidP="000460BA">
      <w:pPr>
        <w:spacing w:line="240" w:lineRule="auto"/>
        <w:rPr>
          <w:b/>
          <w:bCs/>
        </w:rPr>
      </w:pPr>
      <w:r>
        <w:rPr>
          <w:b/>
          <w:bCs/>
        </w:rPr>
        <w:t xml:space="preserve">Quelle: </w:t>
      </w:r>
      <w:r w:rsidRPr="007733B0">
        <w:rPr>
          <w:lang w:eastAsia="de-DE"/>
        </w:rPr>
        <w:t>Hörmann, Yvonne (2021): Lesen – ein Problem aller Fächer! In 5 Schritten zu einem schulischen Leseförderungskonzept. In: Schulverwaltung. Bayern 1/2021, S. 25–28.</w:t>
      </w:r>
    </w:p>
    <w:sectPr w:rsidR="000460BA" w:rsidRPr="000460BA"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E7519" w14:textId="77777777" w:rsidR="001F7BD3" w:rsidRDefault="001F7BD3" w:rsidP="00795E0E">
      <w:r>
        <w:separator/>
      </w:r>
    </w:p>
  </w:endnote>
  <w:endnote w:type="continuationSeparator" w:id="0">
    <w:p w14:paraId="5BC235C0" w14:textId="77777777" w:rsidR="001F7BD3" w:rsidRDefault="001F7BD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9E3C" w14:textId="77777777" w:rsidR="001F7BD3" w:rsidRDefault="001F7BD3" w:rsidP="00795E0E">
      <w:r>
        <w:separator/>
      </w:r>
    </w:p>
  </w:footnote>
  <w:footnote w:type="continuationSeparator" w:id="0">
    <w:p w14:paraId="790F7115" w14:textId="77777777" w:rsidR="001F7BD3" w:rsidRDefault="001F7BD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F16"/>
    <w:multiLevelType w:val="hybridMultilevel"/>
    <w:tmpl w:val="3D068EC0"/>
    <w:lvl w:ilvl="0" w:tplc="381E4D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AB13A95"/>
    <w:multiLevelType w:val="hybridMultilevel"/>
    <w:tmpl w:val="397839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6891FC1"/>
    <w:multiLevelType w:val="hybridMultilevel"/>
    <w:tmpl w:val="8684E6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34368C"/>
    <w:multiLevelType w:val="hybridMultilevel"/>
    <w:tmpl w:val="AF3AB4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5F2FBB"/>
    <w:multiLevelType w:val="hybridMultilevel"/>
    <w:tmpl w:val="B7CA47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A1839"/>
    <w:multiLevelType w:val="hybridMultilevel"/>
    <w:tmpl w:val="D80A8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1A4B76"/>
    <w:multiLevelType w:val="hybridMultilevel"/>
    <w:tmpl w:val="4D2054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D01AA"/>
    <w:multiLevelType w:val="hybridMultilevel"/>
    <w:tmpl w:val="F23809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2"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5"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9"/>
  </w:num>
  <w:num w:numId="2" w16cid:durableId="708603497">
    <w:abstractNumId w:val="1"/>
  </w:num>
  <w:num w:numId="3" w16cid:durableId="1448354020">
    <w:abstractNumId w:val="24"/>
  </w:num>
  <w:num w:numId="4" w16cid:durableId="2082604905">
    <w:abstractNumId w:val="4"/>
  </w:num>
  <w:num w:numId="5" w16cid:durableId="1068649881">
    <w:abstractNumId w:val="13"/>
  </w:num>
  <w:num w:numId="6" w16cid:durableId="1592615764">
    <w:abstractNumId w:val="23"/>
  </w:num>
  <w:num w:numId="7" w16cid:durableId="2049260183">
    <w:abstractNumId w:val="11"/>
  </w:num>
  <w:num w:numId="8" w16cid:durableId="501165176">
    <w:abstractNumId w:val="21"/>
  </w:num>
  <w:num w:numId="9" w16cid:durableId="1517765064">
    <w:abstractNumId w:val="17"/>
  </w:num>
  <w:num w:numId="10" w16cid:durableId="1190873070">
    <w:abstractNumId w:val="14"/>
  </w:num>
  <w:num w:numId="11" w16cid:durableId="982006615">
    <w:abstractNumId w:val="2"/>
  </w:num>
  <w:num w:numId="12" w16cid:durableId="218714230">
    <w:abstractNumId w:val="22"/>
  </w:num>
  <w:num w:numId="13" w16cid:durableId="614336060">
    <w:abstractNumId w:val="3"/>
  </w:num>
  <w:num w:numId="14" w16cid:durableId="1950158556">
    <w:abstractNumId w:val="29"/>
  </w:num>
  <w:num w:numId="15" w16cid:durableId="1732997332">
    <w:abstractNumId w:val="10"/>
  </w:num>
  <w:num w:numId="16" w16cid:durableId="820119667">
    <w:abstractNumId w:val="7"/>
  </w:num>
  <w:num w:numId="17" w16cid:durableId="431517082">
    <w:abstractNumId w:val="15"/>
  </w:num>
  <w:num w:numId="18" w16cid:durableId="1329404831">
    <w:abstractNumId w:val="26"/>
  </w:num>
  <w:num w:numId="19" w16cid:durableId="1545292938">
    <w:abstractNumId w:val="28"/>
  </w:num>
  <w:num w:numId="20" w16cid:durableId="844517896">
    <w:abstractNumId w:val="25"/>
  </w:num>
  <w:num w:numId="21" w16cid:durableId="95757432">
    <w:abstractNumId w:val="27"/>
  </w:num>
  <w:num w:numId="22" w16cid:durableId="1309165243">
    <w:abstractNumId w:val="5"/>
  </w:num>
  <w:num w:numId="23" w16cid:durableId="1781601834">
    <w:abstractNumId w:val="20"/>
  </w:num>
  <w:num w:numId="24" w16cid:durableId="334500449">
    <w:abstractNumId w:val="8"/>
  </w:num>
  <w:num w:numId="25" w16cid:durableId="1494030782">
    <w:abstractNumId w:val="16"/>
  </w:num>
  <w:num w:numId="26" w16cid:durableId="1400205020">
    <w:abstractNumId w:val="9"/>
  </w:num>
  <w:num w:numId="27" w16cid:durableId="997418944">
    <w:abstractNumId w:val="12"/>
  </w:num>
  <w:num w:numId="28" w16cid:durableId="1923296914">
    <w:abstractNumId w:val="18"/>
  </w:num>
  <w:num w:numId="29" w16cid:durableId="1438329841">
    <w:abstractNumId w:val="6"/>
  </w:num>
  <w:num w:numId="30" w16cid:durableId="95945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460BA"/>
    <w:rsid w:val="00053A0C"/>
    <w:rsid w:val="00056861"/>
    <w:rsid w:val="000602D2"/>
    <w:rsid w:val="0006407C"/>
    <w:rsid w:val="00067641"/>
    <w:rsid w:val="0007690B"/>
    <w:rsid w:val="00081DC6"/>
    <w:rsid w:val="00093A46"/>
    <w:rsid w:val="000A1541"/>
    <w:rsid w:val="000C6BA1"/>
    <w:rsid w:val="000D1ADC"/>
    <w:rsid w:val="000D717D"/>
    <w:rsid w:val="001042CA"/>
    <w:rsid w:val="001102F2"/>
    <w:rsid w:val="00113563"/>
    <w:rsid w:val="00116356"/>
    <w:rsid w:val="00154FCE"/>
    <w:rsid w:val="00161756"/>
    <w:rsid w:val="001674E1"/>
    <w:rsid w:val="0017020E"/>
    <w:rsid w:val="00197939"/>
    <w:rsid w:val="001A4F02"/>
    <w:rsid w:val="001A573C"/>
    <w:rsid w:val="001A7760"/>
    <w:rsid w:val="001B6A42"/>
    <w:rsid w:val="001D1BC4"/>
    <w:rsid w:val="001D3B55"/>
    <w:rsid w:val="001F255A"/>
    <w:rsid w:val="001F7BD3"/>
    <w:rsid w:val="00207892"/>
    <w:rsid w:val="0022266C"/>
    <w:rsid w:val="00226F23"/>
    <w:rsid w:val="002563A2"/>
    <w:rsid w:val="002854F3"/>
    <w:rsid w:val="002B49BE"/>
    <w:rsid w:val="002B59AD"/>
    <w:rsid w:val="002C2A2B"/>
    <w:rsid w:val="002D32D8"/>
    <w:rsid w:val="002D42E6"/>
    <w:rsid w:val="002E69CA"/>
    <w:rsid w:val="002E6DBD"/>
    <w:rsid w:val="00317465"/>
    <w:rsid w:val="00331C3C"/>
    <w:rsid w:val="0035529F"/>
    <w:rsid w:val="0035723F"/>
    <w:rsid w:val="00377D98"/>
    <w:rsid w:val="0038598E"/>
    <w:rsid w:val="003868B6"/>
    <w:rsid w:val="00395230"/>
    <w:rsid w:val="003C2787"/>
    <w:rsid w:val="003C3432"/>
    <w:rsid w:val="003C5642"/>
    <w:rsid w:val="003C5D35"/>
    <w:rsid w:val="003C7212"/>
    <w:rsid w:val="003D0AAB"/>
    <w:rsid w:val="003E0F12"/>
    <w:rsid w:val="003F7365"/>
    <w:rsid w:val="004041B2"/>
    <w:rsid w:val="004157C4"/>
    <w:rsid w:val="00426427"/>
    <w:rsid w:val="00432A33"/>
    <w:rsid w:val="00445696"/>
    <w:rsid w:val="00445DA6"/>
    <w:rsid w:val="00446B73"/>
    <w:rsid w:val="004505A5"/>
    <w:rsid w:val="00460986"/>
    <w:rsid w:val="00462539"/>
    <w:rsid w:val="00471622"/>
    <w:rsid w:val="00475BDD"/>
    <w:rsid w:val="004B4983"/>
    <w:rsid w:val="004C5704"/>
    <w:rsid w:val="004D0DD9"/>
    <w:rsid w:val="004F0A8D"/>
    <w:rsid w:val="00506909"/>
    <w:rsid w:val="005253A9"/>
    <w:rsid w:val="00525878"/>
    <w:rsid w:val="00532C1B"/>
    <w:rsid w:val="0054250E"/>
    <w:rsid w:val="00544FFD"/>
    <w:rsid w:val="00562832"/>
    <w:rsid w:val="005635AA"/>
    <w:rsid w:val="00576AD9"/>
    <w:rsid w:val="0058679F"/>
    <w:rsid w:val="00586F95"/>
    <w:rsid w:val="00590689"/>
    <w:rsid w:val="00595F71"/>
    <w:rsid w:val="00596758"/>
    <w:rsid w:val="005A14C0"/>
    <w:rsid w:val="005A5481"/>
    <w:rsid w:val="005A724C"/>
    <w:rsid w:val="005B3681"/>
    <w:rsid w:val="005C14FF"/>
    <w:rsid w:val="005E45E9"/>
    <w:rsid w:val="005F2517"/>
    <w:rsid w:val="00600618"/>
    <w:rsid w:val="00603789"/>
    <w:rsid w:val="00606CAC"/>
    <w:rsid w:val="00612903"/>
    <w:rsid w:val="00634FC7"/>
    <w:rsid w:val="006379F8"/>
    <w:rsid w:val="00641915"/>
    <w:rsid w:val="00644540"/>
    <w:rsid w:val="00686BBC"/>
    <w:rsid w:val="0069269F"/>
    <w:rsid w:val="006A6148"/>
    <w:rsid w:val="006E0265"/>
    <w:rsid w:val="006E745E"/>
    <w:rsid w:val="006F1831"/>
    <w:rsid w:val="0070061C"/>
    <w:rsid w:val="0072261A"/>
    <w:rsid w:val="00735022"/>
    <w:rsid w:val="007722F5"/>
    <w:rsid w:val="00793C4C"/>
    <w:rsid w:val="00795517"/>
    <w:rsid w:val="00795E0E"/>
    <w:rsid w:val="007B57C5"/>
    <w:rsid w:val="007D6B35"/>
    <w:rsid w:val="007F6285"/>
    <w:rsid w:val="008072F4"/>
    <w:rsid w:val="00810160"/>
    <w:rsid w:val="008110E6"/>
    <w:rsid w:val="00822AAB"/>
    <w:rsid w:val="008276B2"/>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4A59"/>
    <w:rsid w:val="00920EE9"/>
    <w:rsid w:val="009613F4"/>
    <w:rsid w:val="00963047"/>
    <w:rsid w:val="009717EC"/>
    <w:rsid w:val="00972B5B"/>
    <w:rsid w:val="009851C0"/>
    <w:rsid w:val="00990C02"/>
    <w:rsid w:val="009938FF"/>
    <w:rsid w:val="00994FB3"/>
    <w:rsid w:val="009B2CF6"/>
    <w:rsid w:val="009B32C7"/>
    <w:rsid w:val="009B3B5C"/>
    <w:rsid w:val="009D2F85"/>
    <w:rsid w:val="009D34E8"/>
    <w:rsid w:val="009E04FD"/>
    <w:rsid w:val="009E4315"/>
    <w:rsid w:val="009F417C"/>
    <w:rsid w:val="00A02B9A"/>
    <w:rsid w:val="00A26BC8"/>
    <w:rsid w:val="00A2778D"/>
    <w:rsid w:val="00A3244B"/>
    <w:rsid w:val="00A70790"/>
    <w:rsid w:val="00A76D01"/>
    <w:rsid w:val="00A90E3E"/>
    <w:rsid w:val="00A97EBD"/>
    <w:rsid w:val="00AB1A76"/>
    <w:rsid w:val="00AD4035"/>
    <w:rsid w:val="00AF13A9"/>
    <w:rsid w:val="00AF24E1"/>
    <w:rsid w:val="00B044F3"/>
    <w:rsid w:val="00B175B9"/>
    <w:rsid w:val="00B44EBE"/>
    <w:rsid w:val="00B6170D"/>
    <w:rsid w:val="00B67BD5"/>
    <w:rsid w:val="00B9525E"/>
    <w:rsid w:val="00B955E4"/>
    <w:rsid w:val="00B96FA0"/>
    <w:rsid w:val="00BB2997"/>
    <w:rsid w:val="00BC38E0"/>
    <w:rsid w:val="00BD5276"/>
    <w:rsid w:val="00BD544F"/>
    <w:rsid w:val="00BD5FE4"/>
    <w:rsid w:val="00BE0985"/>
    <w:rsid w:val="00BF5186"/>
    <w:rsid w:val="00C11A04"/>
    <w:rsid w:val="00C13159"/>
    <w:rsid w:val="00C1437C"/>
    <w:rsid w:val="00C205EC"/>
    <w:rsid w:val="00C25911"/>
    <w:rsid w:val="00C27183"/>
    <w:rsid w:val="00C33872"/>
    <w:rsid w:val="00C47684"/>
    <w:rsid w:val="00C532EC"/>
    <w:rsid w:val="00C5335F"/>
    <w:rsid w:val="00C53602"/>
    <w:rsid w:val="00C84304"/>
    <w:rsid w:val="00CB006A"/>
    <w:rsid w:val="00CC46FB"/>
    <w:rsid w:val="00CD0958"/>
    <w:rsid w:val="00CE2ADD"/>
    <w:rsid w:val="00CE6582"/>
    <w:rsid w:val="00D03D9F"/>
    <w:rsid w:val="00D06B98"/>
    <w:rsid w:val="00D129E6"/>
    <w:rsid w:val="00D208A0"/>
    <w:rsid w:val="00D34EAF"/>
    <w:rsid w:val="00D4530A"/>
    <w:rsid w:val="00D50C60"/>
    <w:rsid w:val="00D50C62"/>
    <w:rsid w:val="00D52821"/>
    <w:rsid w:val="00D6649D"/>
    <w:rsid w:val="00D70F5E"/>
    <w:rsid w:val="00D71C39"/>
    <w:rsid w:val="00D832C8"/>
    <w:rsid w:val="00D91196"/>
    <w:rsid w:val="00DE141B"/>
    <w:rsid w:val="00DE272F"/>
    <w:rsid w:val="00E12EEF"/>
    <w:rsid w:val="00E132A6"/>
    <w:rsid w:val="00E170C1"/>
    <w:rsid w:val="00E222D7"/>
    <w:rsid w:val="00E31B8F"/>
    <w:rsid w:val="00E44428"/>
    <w:rsid w:val="00E61F04"/>
    <w:rsid w:val="00E64BC5"/>
    <w:rsid w:val="00E66790"/>
    <w:rsid w:val="00E82601"/>
    <w:rsid w:val="00E87471"/>
    <w:rsid w:val="00EA3D66"/>
    <w:rsid w:val="00EA6834"/>
    <w:rsid w:val="00EB6549"/>
    <w:rsid w:val="00EB6707"/>
    <w:rsid w:val="00EB7671"/>
    <w:rsid w:val="00ED4BED"/>
    <w:rsid w:val="00EE175E"/>
    <w:rsid w:val="00EE5BC0"/>
    <w:rsid w:val="00EF538B"/>
    <w:rsid w:val="00F059DB"/>
    <w:rsid w:val="00F22C86"/>
    <w:rsid w:val="00F25AA7"/>
    <w:rsid w:val="00F36302"/>
    <w:rsid w:val="00F47E5A"/>
    <w:rsid w:val="00F74560"/>
    <w:rsid w:val="00F84839"/>
    <w:rsid w:val="00F91775"/>
    <w:rsid w:val="00FB3EF7"/>
    <w:rsid w:val="00FC106F"/>
    <w:rsid w:val="00FC2ACD"/>
    <w:rsid w:val="00FC7A02"/>
    <w:rsid w:val="00FD3A0C"/>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9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99"/>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aliases w:val="Fußnotentext Char,Fußnotentext_IV"/>
    <w:basedOn w:val="Standard"/>
    <w:link w:val="FunotentextZchn"/>
    <w:unhideWhenUsed/>
    <w:qFormat/>
    <w:rsid w:val="00E82601"/>
    <w:pPr>
      <w:spacing w:before="0" w:line="240" w:lineRule="auto"/>
    </w:pPr>
    <w:rPr>
      <w:rFonts w:eastAsia="Calibri" w:cs="Times New Roman"/>
      <w:sz w:val="20"/>
      <w:szCs w:val="20"/>
    </w:rPr>
  </w:style>
  <w:style w:type="character" w:customStyle="1" w:styleId="FunotentextZchn">
    <w:name w:val="Fußnotentext Zchn"/>
    <w:aliases w:val="Fußnotentext Char Zchn,Fußnotentext_IV Zchn"/>
    <w:basedOn w:val="Absatz-Standardschriftart"/>
    <w:link w:val="Funotentext"/>
    <w:rsid w:val="00E82601"/>
    <w:rPr>
      <w:rFonts w:ascii="Calibri" w:eastAsia="Calibri" w:hAnsi="Calibri"/>
      <w:lang w:eastAsia="en-US"/>
    </w:rPr>
  </w:style>
  <w:style w:type="character" w:styleId="Hyperlink">
    <w:name w:val="Hyperlink"/>
    <w:basedOn w:val="Absatz-Standardschriftart"/>
    <w:uiPriority w:val="99"/>
    <w:rsid w:val="009B3B5C"/>
    <w:rPr>
      <w:rFonts w:cs="Times New Roman"/>
      <w:color w:val="0000FF"/>
      <w:u w:val="single"/>
    </w:rPr>
  </w:style>
  <w:style w:type="character" w:styleId="Hervorhebung">
    <w:name w:val="Emphasis"/>
    <w:basedOn w:val="Absatz-Standardschriftart"/>
    <w:uiPriority w:val="20"/>
    <w:qFormat/>
    <w:rsid w:val="009B3B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117026784">
      <w:bodyDiv w:val="1"/>
      <w:marLeft w:val="0"/>
      <w:marRight w:val="0"/>
      <w:marTop w:val="0"/>
      <w:marBottom w:val="0"/>
      <w:divBdr>
        <w:top w:val="none" w:sz="0" w:space="0" w:color="auto"/>
        <w:left w:val="none" w:sz="0" w:space="0" w:color="auto"/>
        <w:bottom w:val="none" w:sz="0" w:space="0" w:color="auto"/>
        <w:right w:val="none" w:sz="0" w:space="0" w:color="auto"/>
      </w:divBdr>
      <w:divsChild>
        <w:div w:id="440298115">
          <w:marLeft w:val="0"/>
          <w:marRight w:val="0"/>
          <w:marTop w:val="0"/>
          <w:marBottom w:val="0"/>
          <w:divBdr>
            <w:top w:val="none" w:sz="0" w:space="0" w:color="auto"/>
            <w:left w:val="none" w:sz="0" w:space="0" w:color="auto"/>
            <w:bottom w:val="none" w:sz="0" w:space="0" w:color="auto"/>
            <w:right w:val="none" w:sz="0" w:space="0" w:color="auto"/>
          </w:divBdr>
          <w:divsChild>
            <w:div w:id="1316641389">
              <w:marLeft w:val="0"/>
              <w:marRight w:val="0"/>
              <w:marTop w:val="0"/>
              <w:marBottom w:val="0"/>
              <w:divBdr>
                <w:top w:val="none" w:sz="0" w:space="0" w:color="auto"/>
                <w:left w:val="none" w:sz="0" w:space="0" w:color="auto"/>
                <w:bottom w:val="none" w:sz="0" w:space="0" w:color="auto"/>
                <w:right w:val="none" w:sz="0" w:space="0" w:color="auto"/>
              </w:divBdr>
              <w:divsChild>
                <w:div w:id="19253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0423">
      <w:bodyDiv w:val="1"/>
      <w:marLeft w:val="0"/>
      <w:marRight w:val="0"/>
      <w:marTop w:val="0"/>
      <w:marBottom w:val="0"/>
      <w:divBdr>
        <w:top w:val="none" w:sz="0" w:space="0" w:color="auto"/>
        <w:left w:val="none" w:sz="0" w:space="0" w:color="auto"/>
        <w:bottom w:val="none" w:sz="0" w:space="0" w:color="auto"/>
        <w:right w:val="none" w:sz="0" w:space="0" w:color="auto"/>
      </w:divBdr>
      <w:divsChild>
        <w:div w:id="580212978">
          <w:marLeft w:val="0"/>
          <w:marRight w:val="0"/>
          <w:marTop w:val="0"/>
          <w:marBottom w:val="0"/>
          <w:divBdr>
            <w:top w:val="none" w:sz="0" w:space="0" w:color="auto"/>
            <w:left w:val="none" w:sz="0" w:space="0" w:color="auto"/>
            <w:bottom w:val="none" w:sz="0" w:space="0" w:color="auto"/>
            <w:right w:val="none" w:sz="0" w:space="0" w:color="auto"/>
          </w:divBdr>
          <w:divsChild>
            <w:div w:id="1965186776">
              <w:marLeft w:val="0"/>
              <w:marRight w:val="0"/>
              <w:marTop w:val="0"/>
              <w:marBottom w:val="0"/>
              <w:divBdr>
                <w:top w:val="none" w:sz="0" w:space="0" w:color="auto"/>
                <w:left w:val="none" w:sz="0" w:space="0" w:color="auto"/>
                <w:bottom w:val="none" w:sz="0" w:space="0" w:color="auto"/>
                <w:right w:val="none" w:sz="0" w:space="0" w:color="auto"/>
              </w:divBdr>
              <w:divsChild>
                <w:div w:id="3738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 w:id="2124839844">
      <w:bodyDiv w:val="1"/>
      <w:marLeft w:val="0"/>
      <w:marRight w:val="0"/>
      <w:marTop w:val="0"/>
      <w:marBottom w:val="0"/>
      <w:divBdr>
        <w:top w:val="none" w:sz="0" w:space="0" w:color="auto"/>
        <w:left w:val="none" w:sz="0" w:space="0" w:color="auto"/>
        <w:bottom w:val="none" w:sz="0" w:space="0" w:color="auto"/>
        <w:right w:val="none" w:sz="0" w:space="0" w:color="auto"/>
      </w:divBdr>
      <w:divsChild>
        <w:div w:id="757796421">
          <w:marLeft w:val="0"/>
          <w:marRight w:val="0"/>
          <w:marTop w:val="0"/>
          <w:marBottom w:val="0"/>
          <w:divBdr>
            <w:top w:val="none" w:sz="0" w:space="0" w:color="auto"/>
            <w:left w:val="none" w:sz="0" w:space="0" w:color="auto"/>
            <w:bottom w:val="none" w:sz="0" w:space="0" w:color="auto"/>
            <w:right w:val="none" w:sz="0" w:space="0" w:color="auto"/>
          </w:divBdr>
          <w:divsChild>
            <w:div w:id="1466778196">
              <w:marLeft w:val="0"/>
              <w:marRight w:val="0"/>
              <w:marTop w:val="0"/>
              <w:marBottom w:val="0"/>
              <w:divBdr>
                <w:top w:val="none" w:sz="0" w:space="0" w:color="auto"/>
                <w:left w:val="none" w:sz="0" w:space="0" w:color="auto"/>
                <w:bottom w:val="none" w:sz="0" w:space="0" w:color="auto"/>
                <w:right w:val="none" w:sz="0" w:space="0" w:color="auto"/>
              </w:divBdr>
              <w:divsChild>
                <w:div w:id="6196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3683</Characters>
  <Application>Microsoft Office Word</Application>
  <DocSecurity>0</DocSecurity>
  <Lines>30</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2</cp:revision>
  <cp:lastPrinted>2011-08-28T06:17:00Z</cp:lastPrinted>
  <dcterms:created xsi:type="dcterms:W3CDTF">2022-09-19T10:17:00Z</dcterms:created>
  <dcterms:modified xsi:type="dcterms:W3CDTF">2022-09-19T10:17:00Z</dcterms:modified>
</cp:coreProperties>
</file>