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0602D2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 xml:space="preserve">BaCuLit: Vermittlung bildungssprachlicher Lese- und Schreibkompetenzen im Fachunterricht. </w:t>
      </w:r>
      <w:r w:rsidR="008E4E99" w:rsidRPr="000602D2">
        <w:t>Ein Handbuch für Sekundarstufen und berufliche Bildung.</w:t>
      </w:r>
    </w:p>
    <w:p w14:paraId="656A491B" w14:textId="77777777" w:rsidR="00795E0E" w:rsidRPr="000602D2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10B3961A" w14:textId="42A9C226" w:rsidR="00214ECF" w:rsidRDefault="004A7400" w:rsidP="00214ECF">
      <w:pPr>
        <w:pStyle w:val="Titel"/>
        <w:spacing w:before="0" w:after="0" w:line="240" w:lineRule="auto"/>
      </w:pPr>
      <w:r>
        <w:t xml:space="preserve">AB2: </w:t>
      </w:r>
      <w:r w:rsidR="00914A59" w:rsidRPr="00914A59">
        <w:t xml:space="preserve">Bestandsaufnahme Leseförderung an einer Schule </w:t>
      </w:r>
      <w:r w:rsidR="00E82601">
        <w:t xml:space="preserve">orientiert an </w:t>
      </w:r>
    </w:p>
    <w:p w14:paraId="00814F39" w14:textId="7F7D9B16" w:rsidR="006A6148" w:rsidRPr="00914A59" w:rsidRDefault="00AB1A76" w:rsidP="00214ECF">
      <w:pPr>
        <w:pStyle w:val="Titel"/>
        <w:spacing w:before="0" w:after="0" w:line="240" w:lineRule="auto"/>
      </w:pPr>
      <w:r>
        <w:t>Krug &amp; Nix</w:t>
      </w:r>
      <w:r w:rsidR="00460986">
        <w:t xml:space="preserve">, Entwicklung eines schulischen </w:t>
      </w:r>
      <w:proofErr w:type="spellStart"/>
      <w:r w:rsidR="00460986">
        <w:t>leseförderkonzepts</w:t>
      </w:r>
      <w:proofErr w:type="spellEnd"/>
      <w:r>
        <w:t xml:space="preserve"> (2017)</w:t>
      </w:r>
    </w:p>
    <w:p w14:paraId="5A232EBD" w14:textId="77777777" w:rsidR="00544FFD" w:rsidRDefault="00544FFD" w:rsidP="00B67BD5">
      <w:pPr>
        <w:pStyle w:val="berschrift1"/>
        <w:rPr>
          <w:i/>
          <w:iCs/>
          <w:highlight w:val="yellow"/>
        </w:rPr>
      </w:pPr>
    </w:p>
    <w:p w14:paraId="2A9A76E3" w14:textId="77777777" w:rsidR="00C43DF3" w:rsidRDefault="00C43DF3" w:rsidP="00C43DF3">
      <w:pPr>
        <w:pStyle w:val="Funotentext"/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Aufgabe:</w:t>
      </w:r>
    </w:p>
    <w:p w14:paraId="02CFB0D8" w14:textId="77777777" w:rsidR="00C43DF3" w:rsidRPr="00FE3607" w:rsidRDefault="00C43DF3" w:rsidP="00C43DF3">
      <w:pPr>
        <w:pStyle w:val="Funotentext"/>
        <w:spacing w:line="276" w:lineRule="auto"/>
        <w:rPr>
          <w:rFonts w:asciiTheme="minorHAnsi" w:hAnsiTheme="minorHAnsi"/>
          <w:bCs/>
          <w:sz w:val="24"/>
          <w:szCs w:val="24"/>
          <w:lang w:val="de-ES"/>
        </w:rPr>
      </w:pPr>
      <w:r w:rsidRPr="00FE3607">
        <w:rPr>
          <w:rFonts w:asciiTheme="minorHAnsi" w:hAnsiTheme="minorHAnsi"/>
          <w:bCs/>
          <w:sz w:val="24"/>
          <w:szCs w:val="24"/>
        </w:rPr>
        <w:t>Setzen Sie sich mit der vorgeschlagenen Methode einer Bestandsaufnahme zur Leseförderung an einer Schule auseinander und diskutieren Sie, welche Aspekte / Materialien dieses Vorschlages Sie für Ihre eigene Schule verwenden könnten</w:t>
      </w:r>
      <w:r>
        <w:rPr>
          <w:rFonts w:asciiTheme="minorHAnsi" w:hAnsiTheme="minorHAnsi"/>
          <w:bCs/>
          <w:sz w:val="24"/>
          <w:szCs w:val="24"/>
        </w:rPr>
        <w:t xml:space="preserve"> (30 Min.)</w:t>
      </w:r>
      <w:r w:rsidRPr="00FE3607">
        <w:rPr>
          <w:rFonts w:asciiTheme="minorHAnsi" w:hAnsiTheme="minorHAnsi"/>
          <w:bCs/>
          <w:sz w:val="24"/>
          <w:szCs w:val="24"/>
        </w:rPr>
        <w:t>. Stellen Sie die wichtigsten Aspekte des vorgeschlagenen Verfahrens und Ihrer Einschätzung anschließend in der Gesamtgruppe vor</w:t>
      </w:r>
      <w:r>
        <w:rPr>
          <w:rFonts w:asciiTheme="minorHAnsi" w:hAnsiTheme="minorHAnsi"/>
          <w:bCs/>
          <w:sz w:val="24"/>
          <w:szCs w:val="24"/>
        </w:rPr>
        <w:t xml:space="preserve"> (in max. 5 Min.)</w:t>
      </w:r>
      <w:r w:rsidRPr="00FE3607">
        <w:rPr>
          <w:rFonts w:asciiTheme="minorHAnsi" w:hAnsiTheme="minorHAnsi"/>
          <w:bCs/>
          <w:sz w:val="24"/>
          <w:szCs w:val="24"/>
        </w:rPr>
        <w:t>.</w:t>
      </w:r>
      <w:r w:rsidRPr="00FE3607">
        <w:rPr>
          <w:rFonts w:asciiTheme="minorHAnsi" w:hAnsiTheme="minorHAnsi"/>
          <w:bCs/>
          <w:sz w:val="24"/>
          <w:szCs w:val="24"/>
          <w:lang w:val="de-ES"/>
        </w:rPr>
        <w:t xml:space="preserve"> </w:t>
      </w:r>
    </w:p>
    <w:p w14:paraId="2FD800C8" w14:textId="54424D8B" w:rsidR="00544FFD" w:rsidRDefault="00544FFD" w:rsidP="00E82601">
      <w:pPr>
        <w:pStyle w:val="Funotentext"/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</w:p>
    <w:p w14:paraId="301BA93C" w14:textId="209B9B6F" w:rsidR="00AB1A76" w:rsidRPr="00B955E4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>Das Konzept von Krug &amp; Nix (2017) lehnt sich eng an das didaktische Modell der Lesekompetenz von Rosebrock &amp; Nix (2008</w:t>
      </w:r>
      <w:r w:rsidR="00B955E4" w:rsidRPr="00B955E4">
        <w:rPr>
          <w:sz w:val="24"/>
          <w:szCs w:val="24"/>
        </w:rPr>
        <w:t>/2020</w:t>
      </w:r>
      <w:r w:rsidRPr="00B955E4">
        <w:rPr>
          <w:sz w:val="24"/>
          <w:szCs w:val="24"/>
        </w:rPr>
        <w:t>; vgl. Modul 8.1) an und leitet daraus drei Fortbildungsmodule ab</w:t>
      </w:r>
      <w:r w:rsidR="000458BC">
        <w:rPr>
          <w:sz w:val="24"/>
          <w:szCs w:val="24"/>
        </w:rPr>
        <w:t>, die zusammen mit entsprechenden Materialien (online verfügbar) in dem Buch beschrieben werden</w:t>
      </w:r>
      <w:r w:rsidR="008F1577">
        <w:rPr>
          <w:sz w:val="24"/>
          <w:szCs w:val="24"/>
        </w:rPr>
        <w:t xml:space="preserve"> (Kap. 4 bis 6)</w:t>
      </w:r>
      <w:r w:rsidRPr="00B955E4">
        <w:rPr>
          <w:sz w:val="24"/>
          <w:szCs w:val="24"/>
        </w:rPr>
        <w:t xml:space="preserve">: </w:t>
      </w:r>
    </w:p>
    <w:p w14:paraId="30383166" w14:textId="77777777" w:rsidR="00AB1A76" w:rsidRPr="00B955E4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>Modul 1: Basale Lesefertigkeiten / Leseflüssigkeit</w:t>
      </w:r>
    </w:p>
    <w:p w14:paraId="76CBDE48" w14:textId="77777777" w:rsidR="00AB1A76" w:rsidRPr="00B955E4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>Modul 2: Textverstehen und Lesestrategien</w:t>
      </w:r>
    </w:p>
    <w:p w14:paraId="6647C471" w14:textId="34B0AD71" w:rsidR="00AB1A76" w:rsidRPr="00B955E4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>Modul 3: Lesemotivation.</w:t>
      </w:r>
    </w:p>
    <w:p w14:paraId="7E00A992" w14:textId="77777777" w:rsidR="000458BC" w:rsidRDefault="000458BC" w:rsidP="00AB1A76">
      <w:pPr>
        <w:spacing w:line="276" w:lineRule="auto"/>
        <w:rPr>
          <w:sz w:val="24"/>
          <w:szCs w:val="24"/>
        </w:rPr>
      </w:pPr>
    </w:p>
    <w:p w14:paraId="6A48134B" w14:textId="57FC350B" w:rsidR="00AB1A76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>Die „Bilanzierung der schulischen Leseförderung“, die in Kap</w:t>
      </w:r>
      <w:r w:rsidR="000458BC">
        <w:rPr>
          <w:sz w:val="24"/>
          <w:szCs w:val="24"/>
        </w:rPr>
        <w:t>itel</w:t>
      </w:r>
      <w:r w:rsidRPr="00B955E4">
        <w:rPr>
          <w:sz w:val="24"/>
          <w:szCs w:val="24"/>
        </w:rPr>
        <w:t xml:space="preserve"> 3 als erster Schritt der Schulentwicklung durchgeführt wird, soll im Rahmen einer zwei- bis dreistündigen „Pädagogischen Konferenz“ mit allen Lehrkräften der Schule stattfinden; sie wird angeleitet durch detaillierte Checklisten, die zunächst von jeder Lehrkraft einzeln ausgefüllt werden und die Praxis in fünf Bereichen erfassen:</w:t>
      </w:r>
    </w:p>
    <w:p w14:paraId="018BD31F" w14:textId="77777777" w:rsidR="000458BC" w:rsidRPr="00B955E4" w:rsidRDefault="000458BC" w:rsidP="00AB1A76">
      <w:pPr>
        <w:spacing w:line="276" w:lineRule="auto"/>
        <w:rPr>
          <w:sz w:val="24"/>
          <w:szCs w:val="24"/>
        </w:rPr>
      </w:pPr>
    </w:p>
    <w:p w14:paraId="6A1901D4" w14:textId="77777777" w:rsidR="00AB1A76" w:rsidRPr="00B955E4" w:rsidRDefault="00AB1A76" w:rsidP="00AB1A76">
      <w:pPr>
        <w:pStyle w:val="Listenabsatz"/>
        <w:numPr>
          <w:ilvl w:val="0"/>
          <w:numId w:val="24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Einsatz von Diagnoseverfahren zur Feststellung der Lesekompetenz und des Lernfortschritts</w:t>
      </w:r>
    </w:p>
    <w:p w14:paraId="5C681D32" w14:textId="77777777" w:rsidR="00AB1A76" w:rsidRPr="00B955E4" w:rsidRDefault="00AB1A76" w:rsidP="00AB1A76">
      <w:pPr>
        <w:pStyle w:val="Listenabsatz"/>
        <w:numPr>
          <w:ilvl w:val="0"/>
          <w:numId w:val="24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Überprüfung und Förderung von Leseflüssigkeit</w:t>
      </w:r>
    </w:p>
    <w:p w14:paraId="2134F8AF" w14:textId="77777777" w:rsidR="00AB1A76" w:rsidRPr="00B955E4" w:rsidRDefault="00AB1A76" w:rsidP="00AB1A76">
      <w:pPr>
        <w:pStyle w:val="Listenabsatz"/>
        <w:numPr>
          <w:ilvl w:val="0"/>
          <w:numId w:val="24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Einsatz von Lesestrategien (in allen Fächern)</w:t>
      </w:r>
    </w:p>
    <w:p w14:paraId="08350C2C" w14:textId="77777777" w:rsidR="00AB1A76" w:rsidRPr="00B955E4" w:rsidRDefault="00AB1A76" w:rsidP="00AB1A76">
      <w:pPr>
        <w:pStyle w:val="Listenabsatz"/>
        <w:numPr>
          <w:ilvl w:val="0"/>
          <w:numId w:val="24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Angebote zur Förderung der Lesemotivation (insbesondere für Jungen)</w:t>
      </w:r>
    </w:p>
    <w:p w14:paraId="7620A91B" w14:textId="4A802BC7" w:rsidR="00AB1A76" w:rsidRDefault="00AB1A76" w:rsidP="00AB1A76">
      <w:pPr>
        <w:pStyle w:val="Listenabsatz"/>
        <w:numPr>
          <w:ilvl w:val="0"/>
          <w:numId w:val="24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Schulisches Lesekonzept: Verbindlichkeit von Diagnose- und Fördermaßnahmen im Kollegium (Kr</w:t>
      </w:r>
      <w:r w:rsidR="00460986" w:rsidRPr="00B955E4">
        <w:rPr>
          <w:sz w:val="24"/>
          <w:szCs w:val="24"/>
          <w:lang w:eastAsia="de-DE"/>
        </w:rPr>
        <w:t>ug</w:t>
      </w:r>
      <w:r w:rsidRPr="00B955E4">
        <w:rPr>
          <w:sz w:val="24"/>
          <w:szCs w:val="24"/>
          <w:lang w:eastAsia="de-DE"/>
        </w:rPr>
        <w:t xml:space="preserve"> &amp; Nix 2017, S. 46 ff.</w:t>
      </w:r>
      <w:r w:rsidR="008F1577">
        <w:rPr>
          <w:rStyle w:val="Funotenzeichen"/>
          <w:sz w:val="24"/>
          <w:szCs w:val="24"/>
          <w:lang w:eastAsia="de-DE"/>
        </w:rPr>
        <w:footnoteReference w:id="1"/>
      </w:r>
      <w:r w:rsidRPr="00B955E4">
        <w:rPr>
          <w:sz w:val="24"/>
          <w:szCs w:val="24"/>
          <w:lang w:eastAsia="de-DE"/>
        </w:rPr>
        <w:t>).</w:t>
      </w:r>
    </w:p>
    <w:p w14:paraId="62B3E038" w14:textId="77777777" w:rsidR="000458BC" w:rsidRPr="00B955E4" w:rsidRDefault="000458BC" w:rsidP="000458BC">
      <w:pPr>
        <w:pStyle w:val="Listenabsatz"/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</w:p>
    <w:p w14:paraId="74357528" w14:textId="77777777" w:rsidR="008F1577" w:rsidRDefault="008F1577" w:rsidP="00317465">
      <w:pPr>
        <w:spacing w:line="276" w:lineRule="auto"/>
        <w:rPr>
          <w:sz w:val="24"/>
          <w:szCs w:val="24"/>
        </w:rPr>
      </w:pPr>
    </w:p>
    <w:p w14:paraId="42AD0603" w14:textId="77777777" w:rsidR="008F1577" w:rsidRDefault="008F1577" w:rsidP="00317465">
      <w:pPr>
        <w:spacing w:line="276" w:lineRule="auto"/>
        <w:rPr>
          <w:sz w:val="24"/>
          <w:szCs w:val="24"/>
        </w:rPr>
      </w:pPr>
    </w:p>
    <w:p w14:paraId="7A9A625C" w14:textId="77777777" w:rsidR="008F1577" w:rsidRDefault="008F1577" w:rsidP="00317465">
      <w:pPr>
        <w:spacing w:line="276" w:lineRule="auto"/>
        <w:rPr>
          <w:sz w:val="24"/>
          <w:szCs w:val="24"/>
        </w:rPr>
      </w:pPr>
    </w:p>
    <w:p w14:paraId="480BAFB0" w14:textId="2C47AAD7" w:rsidR="00214ECF" w:rsidRDefault="00AB1A76" w:rsidP="00317465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 xml:space="preserve">Nachdem jede Lehrkraft die fünf Bögen ausgefüllt hat, setzen sich die Klassen- oder Jahrgangsteams zusammen und tauschen ihre Ergebnisse aus; auf dem gemeinsamen Auswertungsbogen </w:t>
      </w:r>
      <w:r w:rsidR="008F1577">
        <w:rPr>
          <w:sz w:val="24"/>
          <w:szCs w:val="24"/>
        </w:rPr>
        <w:t xml:space="preserve">(S. 52) </w:t>
      </w:r>
      <w:r w:rsidRPr="00B955E4">
        <w:rPr>
          <w:sz w:val="24"/>
          <w:szCs w:val="24"/>
        </w:rPr>
        <w:t xml:space="preserve">dürfen nur die Maßnahmen festgehalten werden, die von </w:t>
      </w:r>
      <w:r w:rsidRPr="00B955E4">
        <w:rPr>
          <w:i/>
          <w:sz w:val="24"/>
          <w:szCs w:val="24"/>
        </w:rPr>
        <w:t xml:space="preserve">allen </w:t>
      </w:r>
      <w:r w:rsidR="00460986" w:rsidRPr="00B955E4">
        <w:rPr>
          <w:iCs/>
          <w:sz w:val="24"/>
          <w:szCs w:val="24"/>
        </w:rPr>
        <w:t>Lehrkräft</w:t>
      </w:r>
      <w:r w:rsidRPr="00B955E4">
        <w:rPr>
          <w:sz w:val="24"/>
          <w:szCs w:val="24"/>
        </w:rPr>
        <w:t xml:space="preserve">en des Teams regelmäßig praktiziert werden. Im Plenum werden die Ergebnisse zusammengeführt und ergeben so ein realistisches Bild des </w:t>
      </w:r>
      <w:r w:rsidRPr="00B955E4">
        <w:rPr>
          <w:i/>
          <w:sz w:val="24"/>
          <w:szCs w:val="24"/>
        </w:rPr>
        <w:t xml:space="preserve">Ist-Zustandes der Leseförderung </w:t>
      </w:r>
      <w:r w:rsidRPr="00B955E4">
        <w:rPr>
          <w:sz w:val="24"/>
          <w:szCs w:val="24"/>
        </w:rPr>
        <w:t xml:space="preserve">an der Schule. Dieser wird nun abgeglichen mit dem </w:t>
      </w:r>
      <w:r w:rsidRPr="00B955E4">
        <w:rPr>
          <w:i/>
          <w:sz w:val="24"/>
          <w:szCs w:val="24"/>
        </w:rPr>
        <w:t xml:space="preserve">Soll-Zustand, </w:t>
      </w:r>
      <w:r w:rsidRPr="00B955E4">
        <w:rPr>
          <w:sz w:val="24"/>
          <w:szCs w:val="24"/>
        </w:rPr>
        <w:t>der sich aus den Erkenntnissen der Leseforschung und der Entwicklung der Lesedidaktik ergibt und bei Kr</w:t>
      </w:r>
      <w:r w:rsidR="00460986" w:rsidRPr="00B955E4">
        <w:rPr>
          <w:sz w:val="24"/>
          <w:szCs w:val="24"/>
        </w:rPr>
        <w:t>ug</w:t>
      </w:r>
      <w:r w:rsidRPr="00B955E4">
        <w:rPr>
          <w:sz w:val="24"/>
          <w:szCs w:val="24"/>
        </w:rPr>
        <w:t xml:space="preserve"> &amp; Nix in sechs ‚Standards‘ zusammengefasst wird:</w:t>
      </w:r>
    </w:p>
    <w:p w14:paraId="0791733D" w14:textId="77777777" w:rsidR="00317465" w:rsidRDefault="00317465" w:rsidP="00317465">
      <w:pPr>
        <w:spacing w:line="276" w:lineRule="auto"/>
        <w:rPr>
          <w:sz w:val="24"/>
          <w:szCs w:val="24"/>
        </w:rPr>
      </w:pPr>
    </w:p>
    <w:p w14:paraId="6A31401D" w14:textId="721AC200" w:rsidR="00AB1A76" w:rsidRPr="00B955E4" w:rsidRDefault="00AB1A76" w:rsidP="00317465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 xml:space="preserve">„Einsatz von </w:t>
      </w:r>
      <w:proofErr w:type="spellStart"/>
      <w:r w:rsidRPr="00B955E4">
        <w:rPr>
          <w:sz w:val="24"/>
          <w:szCs w:val="24"/>
          <w:lang w:eastAsia="de-DE"/>
        </w:rPr>
        <w:t>Leselernstandsermittlungen</w:t>
      </w:r>
      <w:proofErr w:type="spellEnd"/>
      <w:r w:rsidRPr="00B955E4">
        <w:rPr>
          <w:sz w:val="24"/>
          <w:szCs w:val="24"/>
          <w:lang w:eastAsia="de-DE"/>
        </w:rPr>
        <w:t xml:space="preserve"> (formative </w:t>
      </w:r>
      <w:proofErr w:type="spellStart"/>
      <w:r w:rsidRPr="00B955E4">
        <w:rPr>
          <w:sz w:val="24"/>
          <w:szCs w:val="24"/>
          <w:lang w:eastAsia="de-DE"/>
        </w:rPr>
        <w:t>Lernstandsermittlung</w:t>
      </w:r>
      <w:proofErr w:type="spellEnd"/>
      <w:r w:rsidRPr="00B955E4">
        <w:rPr>
          <w:sz w:val="24"/>
          <w:szCs w:val="24"/>
          <w:lang w:eastAsia="de-DE"/>
        </w:rPr>
        <w:t>)</w:t>
      </w:r>
    </w:p>
    <w:p w14:paraId="7E75955D" w14:textId="77777777" w:rsidR="00AB1A76" w:rsidRPr="00B955E4" w:rsidRDefault="00AB1A76" w:rsidP="00AB1A76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 xml:space="preserve">Sicherung der </w:t>
      </w:r>
      <w:proofErr w:type="spellStart"/>
      <w:r w:rsidRPr="00B955E4">
        <w:rPr>
          <w:sz w:val="24"/>
          <w:szCs w:val="24"/>
          <w:lang w:eastAsia="de-DE"/>
        </w:rPr>
        <w:t>Dekodierfähigkeit</w:t>
      </w:r>
      <w:proofErr w:type="spellEnd"/>
      <w:r w:rsidRPr="00B955E4">
        <w:rPr>
          <w:sz w:val="24"/>
          <w:szCs w:val="24"/>
          <w:lang w:eastAsia="de-DE"/>
        </w:rPr>
        <w:t xml:space="preserve"> / Leseflüssigkeit</w:t>
      </w:r>
    </w:p>
    <w:p w14:paraId="7FF00226" w14:textId="77777777" w:rsidR="00AB1A76" w:rsidRPr="00B955E4" w:rsidRDefault="00AB1A76" w:rsidP="00AB1A76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Einüben von Lesestrategien</w:t>
      </w:r>
    </w:p>
    <w:p w14:paraId="358F6544" w14:textId="77777777" w:rsidR="00AB1A76" w:rsidRPr="00B955E4" w:rsidRDefault="00AB1A76" w:rsidP="00AB1A76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Lesen in allen Fächern</w:t>
      </w:r>
    </w:p>
    <w:p w14:paraId="592CA61D" w14:textId="77777777" w:rsidR="00AB1A76" w:rsidRPr="00B955E4" w:rsidRDefault="00AB1A76" w:rsidP="00AB1A76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Leseanimation / Selbstkonzept</w:t>
      </w:r>
    </w:p>
    <w:p w14:paraId="20ED7A28" w14:textId="45FCDB52" w:rsidR="00AB1A76" w:rsidRPr="00B955E4" w:rsidRDefault="00AB1A76" w:rsidP="00AB1A76">
      <w:pPr>
        <w:pStyle w:val="Listenabsatz"/>
        <w:numPr>
          <w:ilvl w:val="0"/>
          <w:numId w:val="25"/>
        </w:numPr>
        <w:spacing w:before="0" w:after="120" w:line="276" w:lineRule="auto"/>
        <w:contextualSpacing/>
        <w:jc w:val="left"/>
        <w:rPr>
          <w:sz w:val="24"/>
          <w:szCs w:val="24"/>
          <w:lang w:eastAsia="de-DE"/>
        </w:rPr>
      </w:pPr>
      <w:r w:rsidRPr="00B955E4">
        <w:rPr>
          <w:sz w:val="24"/>
          <w:szCs w:val="24"/>
          <w:lang w:eastAsia="de-DE"/>
        </w:rPr>
        <w:t>Leseförderung für Jungen</w:t>
      </w:r>
      <w:r w:rsidR="008F1577">
        <w:rPr>
          <w:sz w:val="24"/>
          <w:szCs w:val="24"/>
          <w:lang w:eastAsia="de-DE"/>
        </w:rPr>
        <w:t>“</w:t>
      </w:r>
      <w:r w:rsidRPr="00B955E4">
        <w:rPr>
          <w:sz w:val="24"/>
          <w:szCs w:val="24"/>
          <w:lang w:eastAsia="de-DE"/>
        </w:rPr>
        <w:t xml:space="preserve"> (Kr</w:t>
      </w:r>
      <w:r w:rsidR="00460986" w:rsidRPr="00B955E4">
        <w:rPr>
          <w:sz w:val="24"/>
          <w:szCs w:val="24"/>
          <w:lang w:eastAsia="de-DE"/>
        </w:rPr>
        <w:t>ug</w:t>
      </w:r>
      <w:r w:rsidRPr="00B955E4">
        <w:rPr>
          <w:sz w:val="24"/>
          <w:szCs w:val="24"/>
          <w:lang w:eastAsia="de-DE"/>
        </w:rPr>
        <w:t xml:space="preserve"> &amp; Nix 2017, S. 42).</w:t>
      </w:r>
    </w:p>
    <w:p w14:paraId="5F342CB4" w14:textId="67F89936" w:rsidR="00A70790" w:rsidRPr="00B955E4" w:rsidRDefault="00AB1A76" w:rsidP="00AB1A76">
      <w:pPr>
        <w:spacing w:line="276" w:lineRule="auto"/>
        <w:rPr>
          <w:sz w:val="24"/>
          <w:szCs w:val="24"/>
        </w:rPr>
      </w:pPr>
      <w:r w:rsidRPr="00B955E4">
        <w:rPr>
          <w:sz w:val="24"/>
          <w:szCs w:val="24"/>
        </w:rPr>
        <w:t xml:space="preserve">Aus dem Vergleich von Ist- und Sollzustand werden nun </w:t>
      </w:r>
      <w:r w:rsidRPr="00B955E4">
        <w:rPr>
          <w:i/>
          <w:sz w:val="24"/>
          <w:szCs w:val="24"/>
        </w:rPr>
        <w:t>Zielsetzungen für den Schul</w:t>
      </w:r>
      <w:r w:rsidR="00214ECF">
        <w:rPr>
          <w:i/>
          <w:sz w:val="24"/>
          <w:szCs w:val="24"/>
        </w:rPr>
        <w:softHyphen/>
      </w:r>
      <w:r w:rsidRPr="00B955E4">
        <w:rPr>
          <w:i/>
          <w:sz w:val="24"/>
          <w:szCs w:val="24"/>
        </w:rPr>
        <w:t xml:space="preserve">entwicklungsprozess zur Leseförderung </w:t>
      </w:r>
      <w:r w:rsidRPr="00B955E4">
        <w:rPr>
          <w:sz w:val="24"/>
          <w:szCs w:val="24"/>
        </w:rPr>
        <w:t>erarbeitet, die in einem realistischen Rahmen bleiben sollten; die Autoren empfehlen ein bis drei konkrete Ziele zu definieren, die in einem festgelegten Zeitraum (z.B. einem Schuljahr) umgesetzt werden sollten (Kr</w:t>
      </w:r>
      <w:r w:rsidR="00460986" w:rsidRPr="00B955E4">
        <w:rPr>
          <w:sz w:val="24"/>
          <w:szCs w:val="24"/>
        </w:rPr>
        <w:t>ug</w:t>
      </w:r>
      <w:r w:rsidRPr="00B955E4">
        <w:rPr>
          <w:sz w:val="24"/>
          <w:szCs w:val="24"/>
        </w:rPr>
        <w:t xml:space="preserve"> &amp; Nix 2017, S. 53). </w:t>
      </w:r>
      <w:r w:rsidR="002854F3">
        <w:rPr>
          <w:sz w:val="24"/>
          <w:szCs w:val="24"/>
        </w:rPr>
        <w:t xml:space="preserve">Auf der Basis dieser Zielsetzungen werden dann die Fortbildungsbedarfe für das gesamte Kollegium oder Teilgruppen ermittelt und entsprechende Module gebucht. </w:t>
      </w:r>
    </w:p>
    <w:p w14:paraId="0EA59E92" w14:textId="02C10F0D" w:rsidR="00544FFD" w:rsidRPr="00B955E4" w:rsidRDefault="00544FFD" w:rsidP="00E82601">
      <w:pPr>
        <w:pStyle w:val="Funotentext"/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</w:p>
    <w:p w14:paraId="436B0831" w14:textId="77777777" w:rsidR="00544FFD" w:rsidRPr="00B955E4" w:rsidRDefault="00544FFD" w:rsidP="00E82601">
      <w:pPr>
        <w:pStyle w:val="Funotentext"/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</w:p>
    <w:sectPr w:rsidR="00544FFD" w:rsidRPr="00B955E4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F64C" w14:textId="77777777" w:rsidR="00B3647A" w:rsidRDefault="00B3647A" w:rsidP="00795E0E">
      <w:r>
        <w:separator/>
      </w:r>
    </w:p>
  </w:endnote>
  <w:endnote w:type="continuationSeparator" w:id="0">
    <w:p w14:paraId="6599B56C" w14:textId="77777777" w:rsidR="00B3647A" w:rsidRDefault="00B3647A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395C" w14:textId="77777777" w:rsidR="00B3647A" w:rsidRDefault="00B3647A" w:rsidP="00795E0E">
      <w:r>
        <w:separator/>
      </w:r>
    </w:p>
  </w:footnote>
  <w:footnote w:type="continuationSeparator" w:id="0">
    <w:p w14:paraId="13564F6A" w14:textId="77777777" w:rsidR="00B3647A" w:rsidRDefault="00B3647A" w:rsidP="00795E0E">
      <w:r>
        <w:continuationSeparator/>
      </w:r>
    </w:p>
  </w:footnote>
  <w:footnote w:id="1">
    <w:p w14:paraId="321C53C0" w14:textId="020AA4B3" w:rsidR="008F1577" w:rsidRDefault="008F1577">
      <w:pPr>
        <w:pStyle w:val="Funotentext"/>
      </w:pPr>
      <w:r>
        <w:rPr>
          <w:rStyle w:val="Funotenzeichen"/>
        </w:rPr>
        <w:footnoteRef/>
      </w:r>
      <w:r>
        <w:t xml:space="preserve"> Die gut designten Checklisten sind bei Krug &amp; Nix auf S. 46 bis 52 abgedruckt und können den TN ggf. in Kopie als Ergänzung zu diesem AB zur Verfügung gestellt werden; für eine Veröffentlichung online haben wir vom Verlag keine Nutzungsrechte erhalten.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891FC1"/>
    <w:multiLevelType w:val="hybridMultilevel"/>
    <w:tmpl w:val="8684E6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A1839"/>
    <w:multiLevelType w:val="hybridMultilevel"/>
    <w:tmpl w:val="D80A8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DD01AA"/>
    <w:multiLevelType w:val="hybridMultilevel"/>
    <w:tmpl w:val="F23809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19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18"/>
  </w:num>
  <w:num w:numId="7" w16cid:durableId="2049260183">
    <w:abstractNumId w:val="8"/>
  </w:num>
  <w:num w:numId="8" w16cid:durableId="501165176">
    <w:abstractNumId w:val="16"/>
  </w:num>
  <w:num w:numId="9" w16cid:durableId="1517765064">
    <w:abstractNumId w:val="13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7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7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21"/>
  </w:num>
  <w:num w:numId="19" w16cid:durableId="1545292938">
    <w:abstractNumId w:val="23"/>
  </w:num>
  <w:num w:numId="20" w16cid:durableId="844517896">
    <w:abstractNumId w:val="20"/>
  </w:num>
  <w:num w:numId="21" w16cid:durableId="95757432">
    <w:abstractNumId w:val="22"/>
  </w:num>
  <w:num w:numId="22" w16cid:durableId="1309165243">
    <w:abstractNumId w:val="4"/>
  </w:num>
  <w:num w:numId="23" w16cid:durableId="1781601834">
    <w:abstractNumId w:val="15"/>
  </w:num>
  <w:num w:numId="24" w16cid:durableId="334500449">
    <w:abstractNumId w:val="6"/>
  </w:num>
  <w:num w:numId="25" w16cid:durableId="14940307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458BC"/>
    <w:rsid w:val="00053A0C"/>
    <w:rsid w:val="00056861"/>
    <w:rsid w:val="000602D2"/>
    <w:rsid w:val="0006407C"/>
    <w:rsid w:val="00067641"/>
    <w:rsid w:val="0007690B"/>
    <w:rsid w:val="00081DC6"/>
    <w:rsid w:val="00093A46"/>
    <w:rsid w:val="000A1541"/>
    <w:rsid w:val="000C6BA1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8AB"/>
    <w:rsid w:val="001D1BC4"/>
    <w:rsid w:val="001D3B55"/>
    <w:rsid w:val="001F255A"/>
    <w:rsid w:val="00207892"/>
    <w:rsid w:val="00214ECF"/>
    <w:rsid w:val="0022266C"/>
    <w:rsid w:val="00226F23"/>
    <w:rsid w:val="002563A2"/>
    <w:rsid w:val="002854F3"/>
    <w:rsid w:val="002B49BE"/>
    <w:rsid w:val="002B59AD"/>
    <w:rsid w:val="002C2A2B"/>
    <w:rsid w:val="002D32D8"/>
    <w:rsid w:val="002D42E6"/>
    <w:rsid w:val="002E6DBD"/>
    <w:rsid w:val="00317465"/>
    <w:rsid w:val="00331C3C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C7212"/>
    <w:rsid w:val="003D0AAB"/>
    <w:rsid w:val="003E0F12"/>
    <w:rsid w:val="003F7365"/>
    <w:rsid w:val="004041B2"/>
    <w:rsid w:val="00426427"/>
    <w:rsid w:val="00432A33"/>
    <w:rsid w:val="00445DA6"/>
    <w:rsid w:val="00460986"/>
    <w:rsid w:val="00462539"/>
    <w:rsid w:val="00471622"/>
    <w:rsid w:val="00475BDD"/>
    <w:rsid w:val="004A7400"/>
    <w:rsid w:val="004B4983"/>
    <w:rsid w:val="004C5704"/>
    <w:rsid w:val="004D0DD9"/>
    <w:rsid w:val="004F0A8D"/>
    <w:rsid w:val="00506909"/>
    <w:rsid w:val="005253A9"/>
    <w:rsid w:val="00525878"/>
    <w:rsid w:val="0054250E"/>
    <w:rsid w:val="00544FFD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B3681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0265"/>
    <w:rsid w:val="006E745E"/>
    <w:rsid w:val="006F1831"/>
    <w:rsid w:val="0072261A"/>
    <w:rsid w:val="007722F5"/>
    <w:rsid w:val="00785251"/>
    <w:rsid w:val="00793C4C"/>
    <w:rsid w:val="00795517"/>
    <w:rsid w:val="00795E0E"/>
    <w:rsid w:val="007B57C5"/>
    <w:rsid w:val="008072F4"/>
    <w:rsid w:val="00810160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1577"/>
    <w:rsid w:val="008F5876"/>
    <w:rsid w:val="00914A59"/>
    <w:rsid w:val="00921D22"/>
    <w:rsid w:val="00926221"/>
    <w:rsid w:val="009613F4"/>
    <w:rsid w:val="009717EC"/>
    <w:rsid w:val="00972B5B"/>
    <w:rsid w:val="009851C0"/>
    <w:rsid w:val="00990C02"/>
    <w:rsid w:val="009938FF"/>
    <w:rsid w:val="00994FB3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0790"/>
    <w:rsid w:val="00A76D01"/>
    <w:rsid w:val="00A90E3E"/>
    <w:rsid w:val="00A97EBD"/>
    <w:rsid w:val="00AB1A76"/>
    <w:rsid w:val="00AD4035"/>
    <w:rsid w:val="00AF13A9"/>
    <w:rsid w:val="00AF24E1"/>
    <w:rsid w:val="00B044F3"/>
    <w:rsid w:val="00B175B9"/>
    <w:rsid w:val="00B3647A"/>
    <w:rsid w:val="00B44EBE"/>
    <w:rsid w:val="00B67BD5"/>
    <w:rsid w:val="00B9525E"/>
    <w:rsid w:val="00B955E4"/>
    <w:rsid w:val="00B96FA0"/>
    <w:rsid w:val="00BB2997"/>
    <w:rsid w:val="00BC27BE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3DF3"/>
    <w:rsid w:val="00C47684"/>
    <w:rsid w:val="00C532EC"/>
    <w:rsid w:val="00C5335F"/>
    <w:rsid w:val="00C53602"/>
    <w:rsid w:val="00C84304"/>
    <w:rsid w:val="00CA0958"/>
    <w:rsid w:val="00CB006A"/>
    <w:rsid w:val="00CC46FB"/>
    <w:rsid w:val="00CD0958"/>
    <w:rsid w:val="00CE6582"/>
    <w:rsid w:val="00D03D9F"/>
    <w:rsid w:val="00D06B98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4428"/>
    <w:rsid w:val="00E61F04"/>
    <w:rsid w:val="00E64BC5"/>
    <w:rsid w:val="00E66790"/>
    <w:rsid w:val="00E82601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paragraph" w:styleId="Funotentext">
    <w:name w:val="footnote text"/>
    <w:aliases w:val="Fußnotentext Char,Fußnotentext_IV"/>
    <w:basedOn w:val="Standard"/>
    <w:link w:val="FunotentextZchn"/>
    <w:unhideWhenUsed/>
    <w:qFormat/>
    <w:rsid w:val="00E82601"/>
    <w:pPr>
      <w:spacing w:before="0" w:line="240" w:lineRule="auto"/>
    </w:pPr>
    <w:rPr>
      <w:rFonts w:eastAsia="Calibri" w:cs="Times New Roman"/>
      <w:sz w:val="20"/>
      <w:szCs w:val="20"/>
    </w:rPr>
  </w:style>
  <w:style w:type="character" w:customStyle="1" w:styleId="FunotentextZchn">
    <w:name w:val="Fußnotentext Zchn"/>
    <w:aliases w:val="Fußnotentext Char Zchn,Fußnotentext_IV Zchn"/>
    <w:basedOn w:val="Absatz-Standardschriftart"/>
    <w:link w:val="Funotentext"/>
    <w:rsid w:val="00E82601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8F1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2EB52E-4790-1D4E-8535-49AA5B91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6</cp:revision>
  <cp:lastPrinted>2011-08-28T06:17:00Z</cp:lastPrinted>
  <dcterms:created xsi:type="dcterms:W3CDTF">2022-05-08T08:58:00Z</dcterms:created>
  <dcterms:modified xsi:type="dcterms:W3CDTF">2023-01-08T12:25:00Z</dcterms:modified>
</cp:coreProperties>
</file>