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F6A56" w14:textId="7CADD95C" w:rsidR="00423A70" w:rsidRPr="005D2658" w:rsidRDefault="00423A70" w:rsidP="005D2658">
      <w:pPr>
        <w:pStyle w:val="Titel"/>
      </w:pPr>
      <w:proofErr w:type="spellStart"/>
      <w:proofErr w:type="gramStart"/>
      <w:r w:rsidRPr="003326AA">
        <w:t>BaCuLit</w:t>
      </w:r>
      <w:proofErr w:type="spellEnd"/>
      <w:r>
        <w:t xml:space="preserve">  </w:t>
      </w:r>
      <w:r w:rsidRPr="003326AA">
        <w:t>-</w:t>
      </w:r>
      <w:proofErr w:type="gramEnd"/>
      <w:r>
        <w:t xml:space="preserve"> Planungsvorschlag für </w:t>
      </w:r>
      <w:r w:rsidRPr="003326AA">
        <w:t>Mo</w:t>
      </w:r>
      <w:r>
        <w:t>dul 9.1 (Lehreinheit von 3 Std.</w:t>
      </w:r>
      <w:r>
        <w:rPr>
          <w:rStyle w:val="Funotenzeichen"/>
        </w:rPr>
        <w:footnoteReference w:id="1"/>
      </w:r>
      <w:r>
        <w:t>)</w:t>
      </w:r>
    </w:p>
    <w:p w14:paraId="363F73E6" w14:textId="4587519B" w:rsidR="007A3F1C" w:rsidRDefault="00A1275C" w:rsidP="005D2658">
      <w:pPr>
        <w:spacing w:before="120" w:after="0" w:line="240" w:lineRule="auto"/>
        <w:jc w:val="center"/>
        <w:rPr>
          <w:b/>
          <w:sz w:val="48"/>
          <w:szCs w:val="28"/>
        </w:rPr>
      </w:pPr>
      <w:r w:rsidRPr="006710FF">
        <w:rPr>
          <w:b/>
          <w:sz w:val="48"/>
          <w:szCs w:val="28"/>
        </w:rPr>
        <w:t xml:space="preserve">Modul </w:t>
      </w:r>
      <w:r>
        <w:rPr>
          <w:b/>
          <w:sz w:val="48"/>
          <w:szCs w:val="28"/>
        </w:rPr>
        <w:t>9.</w:t>
      </w:r>
      <w:r w:rsidRPr="006710FF">
        <w:rPr>
          <w:b/>
          <w:sz w:val="48"/>
          <w:szCs w:val="28"/>
        </w:rPr>
        <w:t xml:space="preserve">: </w:t>
      </w:r>
      <w:r w:rsidR="007A3F1C">
        <w:rPr>
          <w:b/>
          <w:sz w:val="48"/>
          <w:szCs w:val="28"/>
        </w:rPr>
        <w:t>Diagnostik und Förderung von Lese- und Schreibkompetenzen als Teil von Schulentwicklung</w:t>
      </w:r>
    </w:p>
    <w:p w14:paraId="73528C89" w14:textId="347888F9" w:rsidR="007A3F1C" w:rsidRPr="005D2658" w:rsidRDefault="007A3F1C" w:rsidP="005D2658">
      <w:pPr>
        <w:pStyle w:val="berschrift3"/>
        <w:spacing w:before="120" w:line="240" w:lineRule="auto"/>
        <w:jc w:val="center"/>
        <w:rPr>
          <w:rFonts w:asciiTheme="minorHAnsi" w:hAnsiTheme="minorHAnsi" w:cstheme="minorHAnsi"/>
          <w:b/>
          <w:bCs/>
          <w:color w:val="000000" w:themeColor="text1"/>
          <w:sz w:val="36"/>
          <w:szCs w:val="36"/>
        </w:rPr>
      </w:pPr>
      <w:r w:rsidRPr="000B0D3C">
        <w:rPr>
          <w:rFonts w:asciiTheme="minorHAnsi" w:hAnsiTheme="minorHAnsi" w:cstheme="minorHAnsi"/>
          <w:b/>
          <w:bCs/>
          <w:color w:val="000000" w:themeColor="text1"/>
          <w:sz w:val="36"/>
          <w:szCs w:val="36"/>
        </w:rPr>
        <w:t xml:space="preserve">Block 1: </w:t>
      </w:r>
      <w:r w:rsidRPr="000B0D3C">
        <w:rPr>
          <w:rStyle w:val="eop"/>
          <w:rFonts w:asciiTheme="minorHAnsi" w:hAnsiTheme="minorHAnsi" w:cstheme="minorHAnsi"/>
          <w:b/>
          <w:bCs/>
          <w:color w:val="000000" w:themeColor="text1"/>
          <w:sz w:val="36"/>
          <w:szCs w:val="36"/>
          <w:shd w:val="clear" w:color="auto" w:fill="FFFFFF"/>
        </w:rPr>
        <w:t xml:space="preserve">Lernstandserhebungen </w:t>
      </w:r>
      <w:r w:rsidRPr="000B0D3C">
        <w:rPr>
          <w:rFonts w:asciiTheme="minorHAnsi" w:hAnsiTheme="minorHAnsi" w:cstheme="minorHAnsi"/>
          <w:b/>
          <w:bCs/>
          <w:color w:val="000000" w:themeColor="text1"/>
          <w:sz w:val="36"/>
          <w:szCs w:val="36"/>
        </w:rPr>
        <w:t>(formatives Assessment)</w:t>
      </w:r>
      <w:r w:rsidRPr="000B0D3C">
        <w:rPr>
          <w:rFonts w:asciiTheme="minorHAnsi" w:eastAsia="Calibri" w:hAnsiTheme="minorHAnsi" w:cstheme="minorHAnsi"/>
          <w:color w:val="000000" w:themeColor="text1"/>
          <w:sz w:val="36"/>
          <w:szCs w:val="36"/>
        </w:rPr>
        <w:t xml:space="preserve"> </w:t>
      </w:r>
      <w:r w:rsidRPr="000B0D3C">
        <w:rPr>
          <w:rFonts w:asciiTheme="minorHAnsi" w:eastAsia="Calibri" w:hAnsiTheme="minorHAnsi" w:cstheme="minorHAnsi"/>
          <w:b/>
          <w:bCs/>
          <w:color w:val="000000" w:themeColor="text1"/>
          <w:sz w:val="36"/>
          <w:szCs w:val="36"/>
        </w:rPr>
        <w:t>als Startpunkt für Unterrichtsentwicklung</w:t>
      </w:r>
    </w:p>
    <w:p w14:paraId="5AB2A493" w14:textId="404F4D59" w:rsidR="00A1275C" w:rsidRDefault="00A1275C" w:rsidP="005D2658">
      <w:pPr>
        <w:spacing w:before="120" w:after="0" w:line="240" w:lineRule="auto"/>
        <w:jc w:val="center"/>
        <w:rPr>
          <w:b/>
          <w:sz w:val="36"/>
          <w:szCs w:val="28"/>
        </w:rPr>
      </w:pPr>
      <w:r w:rsidRPr="00E61A7D">
        <w:rPr>
          <w:b/>
          <w:sz w:val="36"/>
          <w:szCs w:val="28"/>
        </w:rPr>
        <w:t>Referent</w:t>
      </w:r>
      <w:r w:rsidR="007A3F1C">
        <w:rPr>
          <w:b/>
          <w:sz w:val="36"/>
          <w:szCs w:val="28"/>
        </w:rPr>
        <w:t>in</w:t>
      </w:r>
      <w:r>
        <w:rPr>
          <w:b/>
          <w:sz w:val="36"/>
          <w:szCs w:val="28"/>
        </w:rPr>
        <w:t>/Referent</w:t>
      </w:r>
      <w:r>
        <w:rPr>
          <w:rStyle w:val="Funotenzeichen"/>
          <w:b/>
          <w:sz w:val="36"/>
          <w:szCs w:val="28"/>
        </w:rPr>
        <w:footnoteReference w:id="2"/>
      </w:r>
      <w:r w:rsidRPr="00E61A7D">
        <w:rPr>
          <w:b/>
          <w:sz w:val="36"/>
          <w:szCs w:val="28"/>
        </w:rPr>
        <w:t xml:space="preserve">: </w:t>
      </w:r>
    </w:p>
    <w:p w14:paraId="1A78B1F2" w14:textId="46AC7EE6" w:rsidR="00A1275C" w:rsidRDefault="000B0D3C" w:rsidP="005D2658">
      <w:pPr>
        <w:spacing w:before="120" w:after="0" w:line="240" w:lineRule="auto"/>
        <w:jc w:val="both"/>
        <w:rPr>
          <w:rFonts w:eastAsia="MS Mincho" w:cs="Times New Roman"/>
          <w:i/>
          <w:iCs/>
          <w:color w:val="000000" w:themeColor="text1"/>
          <w:sz w:val="24"/>
          <w:szCs w:val="24"/>
        </w:rPr>
      </w:pPr>
      <w:r w:rsidRPr="00AC7A31">
        <w:rPr>
          <w:rFonts w:eastAsia="MS Mincho" w:cs="Times New Roman"/>
          <w:b/>
          <w:bCs/>
          <w:i/>
          <w:iCs/>
          <w:color w:val="000000" w:themeColor="text1"/>
          <w:sz w:val="24"/>
          <w:szCs w:val="24"/>
        </w:rPr>
        <w:t>Didaktischer Hinweis:</w:t>
      </w:r>
      <w:r>
        <w:rPr>
          <w:rFonts w:eastAsia="MS Mincho" w:cs="Times New Roman"/>
          <w:i/>
          <w:iCs/>
          <w:color w:val="000000" w:themeColor="text1"/>
          <w:sz w:val="24"/>
          <w:szCs w:val="24"/>
        </w:rPr>
        <w:t xml:space="preserve"> Die „Planungsvorschläge“ für eine dreistündige Fortbildung sind grundsätzlich nur als Anregung zu verstehen: Jeder und jedem Fortbildenden steht es selbstverständlich frei, diese Vorschläge zu modifizieren und auf die jeweilige Zielgruppe und deren Bedürfnisse anzupassen, sowohl im Hinblick auf passgenaue Materialien und Arbeitsaufträge als auch auf Abläufe und zeitliche Planung. Die von uns empfohlenen Arbeitsmaterialien können selbstverständlich durch andere, aktuellere oder fachspezifische Materialien ersetzt werden.</w:t>
      </w:r>
    </w:p>
    <w:p w14:paraId="628D1A04" w14:textId="77777777" w:rsidR="005D2658" w:rsidRPr="000B0D3C" w:rsidRDefault="005D2658" w:rsidP="005D2658">
      <w:pPr>
        <w:spacing w:before="120" w:after="0" w:line="240" w:lineRule="auto"/>
        <w:jc w:val="both"/>
        <w:rPr>
          <w:rFonts w:eastAsia="MS Mincho" w:cs="Times New Roman"/>
          <w:i/>
          <w:iCs/>
          <w:color w:val="000000" w:themeColor="text1"/>
          <w:sz w:val="24"/>
          <w:szCs w:val="24"/>
        </w:rPr>
      </w:pPr>
    </w:p>
    <w:p w14:paraId="234F5D0B" w14:textId="77777777" w:rsidR="00A1275C" w:rsidRPr="003326AA" w:rsidRDefault="00A1275C" w:rsidP="00A1275C">
      <w:pPr>
        <w:pStyle w:val="Titel"/>
        <w:spacing w:line="276" w:lineRule="auto"/>
        <w:rPr>
          <w:b w:val="0"/>
          <w:bCs/>
        </w:rPr>
      </w:pPr>
      <w:r w:rsidRPr="003326AA">
        <w:rPr>
          <w:bCs/>
        </w:rPr>
        <w:t>D</w:t>
      </w:r>
      <w:r>
        <w:rPr>
          <w:bCs/>
        </w:rPr>
        <w:t xml:space="preserve">atum / Uhrzeit: </w:t>
      </w:r>
    </w:p>
    <w:tbl>
      <w:tblPr>
        <w:tblStyle w:val="Tabellenraster"/>
        <w:tblW w:w="0" w:type="auto"/>
        <w:tblLook w:val="04A0" w:firstRow="1" w:lastRow="0" w:firstColumn="1" w:lastColumn="0" w:noHBand="0" w:noVBand="1"/>
      </w:tblPr>
      <w:tblGrid>
        <w:gridCol w:w="1044"/>
        <w:gridCol w:w="7701"/>
        <w:gridCol w:w="4008"/>
        <w:gridCol w:w="1524"/>
      </w:tblGrid>
      <w:tr w:rsidR="00A1275C" w14:paraId="2F5BB1CE" w14:textId="77777777" w:rsidTr="00ED4FE0">
        <w:tc>
          <w:tcPr>
            <w:tcW w:w="1044" w:type="dxa"/>
          </w:tcPr>
          <w:p w14:paraId="36B13774" w14:textId="77777777" w:rsidR="00A1275C" w:rsidRDefault="00A1275C" w:rsidP="00ED4FE0">
            <w:pPr>
              <w:spacing w:line="276" w:lineRule="auto"/>
              <w:jc w:val="both"/>
              <w:rPr>
                <w:b/>
                <w:sz w:val="28"/>
                <w:szCs w:val="28"/>
              </w:rPr>
            </w:pPr>
            <w:r>
              <w:rPr>
                <w:b/>
                <w:sz w:val="28"/>
                <w:szCs w:val="28"/>
              </w:rPr>
              <w:t>Zeit</w:t>
            </w:r>
          </w:p>
        </w:tc>
        <w:tc>
          <w:tcPr>
            <w:tcW w:w="7701" w:type="dxa"/>
          </w:tcPr>
          <w:p w14:paraId="47A9296B" w14:textId="77777777" w:rsidR="00A1275C" w:rsidRDefault="00A1275C" w:rsidP="00ED4FE0">
            <w:pPr>
              <w:spacing w:line="276" w:lineRule="auto"/>
              <w:jc w:val="both"/>
              <w:rPr>
                <w:b/>
                <w:sz w:val="28"/>
                <w:szCs w:val="28"/>
              </w:rPr>
            </w:pPr>
            <w:r>
              <w:rPr>
                <w:b/>
                <w:sz w:val="28"/>
                <w:szCs w:val="28"/>
              </w:rPr>
              <w:t>Inhalte – Aufgabenstellungen</w:t>
            </w:r>
          </w:p>
        </w:tc>
        <w:tc>
          <w:tcPr>
            <w:tcW w:w="4008" w:type="dxa"/>
          </w:tcPr>
          <w:p w14:paraId="3FA6C444" w14:textId="77777777" w:rsidR="00A1275C" w:rsidRDefault="00A1275C" w:rsidP="00ED4FE0">
            <w:pPr>
              <w:spacing w:line="276" w:lineRule="auto"/>
              <w:jc w:val="both"/>
              <w:rPr>
                <w:b/>
                <w:sz w:val="28"/>
                <w:szCs w:val="28"/>
              </w:rPr>
            </w:pPr>
            <w:r>
              <w:rPr>
                <w:b/>
                <w:sz w:val="28"/>
                <w:szCs w:val="28"/>
              </w:rPr>
              <w:t>Material</w:t>
            </w:r>
          </w:p>
        </w:tc>
        <w:tc>
          <w:tcPr>
            <w:tcW w:w="1524" w:type="dxa"/>
          </w:tcPr>
          <w:p w14:paraId="7BC428BC" w14:textId="77777777" w:rsidR="00A1275C" w:rsidRDefault="00A1275C" w:rsidP="00ED4FE0">
            <w:pPr>
              <w:spacing w:line="276" w:lineRule="auto"/>
              <w:jc w:val="both"/>
              <w:rPr>
                <w:b/>
                <w:sz w:val="28"/>
                <w:szCs w:val="28"/>
              </w:rPr>
            </w:pPr>
            <w:r>
              <w:rPr>
                <w:b/>
                <w:sz w:val="28"/>
                <w:szCs w:val="28"/>
              </w:rPr>
              <w:t>Details</w:t>
            </w:r>
          </w:p>
        </w:tc>
      </w:tr>
      <w:tr w:rsidR="00A1275C" w:rsidRPr="008C5788" w14:paraId="719C5205" w14:textId="77777777" w:rsidTr="00ED4FE0">
        <w:tc>
          <w:tcPr>
            <w:tcW w:w="1044" w:type="dxa"/>
            <w:shd w:val="clear" w:color="auto" w:fill="D2C7DF"/>
          </w:tcPr>
          <w:p w14:paraId="6BC0E8E6" w14:textId="77777777" w:rsidR="00A1275C" w:rsidRPr="008C5788" w:rsidRDefault="00A1275C" w:rsidP="00ED4FE0">
            <w:pPr>
              <w:spacing w:line="276" w:lineRule="auto"/>
              <w:jc w:val="both"/>
              <w:rPr>
                <w:rFonts w:cstheme="minorHAnsi"/>
                <w:b/>
              </w:rPr>
            </w:pPr>
          </w:p>
        </w:tc>
        <w:tc>
          <w:tcPr>
            <w:tcW w:w="7701" w:type="dxa"/>
            <w:shd w:val="clear" w:color="auto" w:fill="D2C7DF"/>
          </w:tcPr>
          <w:p w14:paraId="62B3C12E" w14:textId="77777777" w:rsidR="00A1275C" w:rsidRPr="008C5788" w:rsidRDefault="00A1275C" w:rsidP="00ED4FE0">
            <w:pPr>
              <w:spacing w:line="276" w:lineRule="auto"/>
              <w:jc w:val="both"/>
              <w:rPr>
                <w:rFonts w:cstheme="minorHAnsi"/>
                <w:b/>
              </w:rPr>
            </w:pPr>
            <w:r>
              <w:rPr>
                <w:b/>
                <w:sz w:val="24"/>
                <w:szCs w:val="24"/>
              </w:rPr>
              <w:t xml:space="preserve">Teil 1: </w:t>
            </w:r>
            <w:r w:rsidRPr="00AC7A31">
              <w:rPr>
                <w:b/>
                <w:sz w:val="24"/>
                <w:szCs w:val="24"/>
              </w:rPr>
              <w:t>Lernstandserhebungen und Leistungsbewertung im Unterricht – Unterschiede zwischen summativen und formativen Assessments</w:t>
            </w:r>
          </w:p>
        </w:tc>
        <w:tc>
          <w:tcPr>
            <w:tcW w:w="4008" w:type="dxa"/>
            <w:shd w:val="clear" w:color="auto" w:fill="D2C7DF"/>
          </w:tcPr>
          <w:p w14:paraId="2506E4D8" w14:textId="77777777" w:rsidR="00A1275C" w:rsidRPr="008C5788" w:rsidRDefault="00A1275C" w:rsidP="00ED4FE0">
            <w:pPr>
              <w:spacing w:after="240" w:line="276" w:lineRule="auto"/>
              <w:jc w:val="both"/>
              <w:rPr>
                <w:rFonts w:cstheme="minorHAnsi"/>
                <w:b/>
              </w:rPr>
            </w:pPr>
          </w:p>
        </w:tc>
        <w:tc>
          <w:tcPr>
            <w:tcW w:w="1524" w:type="dxa"/>
            <w:shd w:val="clear" w:color="auto" w:fill="D2C7DF"/>
          </w:tcPr>
          <w:p w14:paraId="1485F1DC" w14:textId="77777777" w:rsidR="00A1275C" w:rsidRPr="008C5788" w:rsidRDefault="00A1275C" w:rsidP="00ED4FE0">
            <w:pPr>
              <w:spacing w:after="240" w:line="276" w:lineRule="auto"/>
              <w:jc w:val="both"/>
              <w:rPr>
                <w:rFonts w:cstheme="minorHAnsi"/>
                <w:b/>
              </w:rPr>
            </w:pPr>
          </w:p>
        </w:tc>
      </w:tr>
      <w:tr w:rsidR="00A1275C" w:rsidRPr="00404E38" w14:paraId="31194B7A" w14:textId="77777777" w:rsidTr="00ED4FE0">
        <w:tc>
          <w:tcPr>
            <w:tcW w:w="1044" w:type="dxa"/>
            <w:shd w:val="clear" w:color="auto" w:fill="auto"/>
          </w:tcPr>
          <w:p w14:paraId="15038680" w14:textId="77777777" w:rsidR="00A1275C" w:rsidRPr="00CB6FB3" w:rsidRDefault="00A1275C" w:rsidP="00ED4FE0">
            <w:pPr>
              <w:spacing w:line="276" w:lineRule="auto"/>
              <w:rPr>
                <w:rFonts w:cstheme="minorHAnsi"/>
                <w:sz w:val="24"/>
                <w:szCs w:val="24"/>
              </w:rPr>
            </w:pPr>
            <w:r w:rsidRPr="00CB6FB3">
              <w:rPr>
                <w:rFonts w:cstheme="minorHAnsi"/>
                <w:sz w:val="24"/>
                <w:szCs w:val="24"/>
              </w:rPr>
              <w:t>20 Min.</w:t>
            </w:r>
          </w:p>
        </w:tc>
        <w:tc>
          <w:tcPr>
            <w:tcW w:w="7701" w:type="dxa"/>
            <w:shd w:val="clear" w:color="auto" w:fill="auto"/>
          </w:tcPr>
          <w:p w14:paraId="66B4CECC" w14:textId="6855F00E" w:rsidR="00C532F7" w:rsidRDefault="00C532F7" w:rsidP="00ED4FE0">
            <w:pPr>
              <w:spacing w:line="276" w:lineRule="auto"/>
              <w:rPr>
                <w:b/>
                <w:sz w:val="24"/>
                <w:szCs w:val="24"/>
              </w:rPr>
            </w:pPr>
            <w:r>
              <w:rPr>
                <w:b/>
                <w:sz w:val="24"/>
                <w:szCs w:val="24"/>
              </w:rPr>
              <w:t>Begrüßung und Übersicht (Input Trainer/in)</w:t>
            </w:r>
          </w:p>
          <w:p w14:paraId="434B9991" w14:textId="31305893" w:rsidR="00A1275C" w:rsidRPr="00792BF0" w:rsidRDefault="00A1275C" w:rsidP="00ED4FE0">
            <w:pPr>
              <w:spacing w:line="276" w:lineRule="auto"/>
              <w:rPr>
                <w:bCs/>
                <w:sz w:val="24"/>
                <w:szCs w:val="24"/>
              </w:rPr>
            </w:pPr>
            <w:r w:rsidRPr="00CB6FB3">
              <w:rPr>
                <w:b/>
                <w:sz w:val="24"/>
                <w:szCs w:val="24"/>
              </w:rPr>
              <w:lastRenderedPageBreak/>
              <w:t>Einstieg</w:t>
            </w:r>
            <w:r w:rsidR="00A272D0">
              <w:rPr>
                <w:b/>
                <w:sz w:val="24"/>
                <w:szCs w:val="24"/>
              </w:rPr>
              <w:t xml:space="preserve"> in Gruppenarbeit</w:t>
            </w:r>
            <w:r w:rsidRPr="00CB6FB3">
              <w:rPr>
                <w:bCs/>
                <w:sz w:val="24"/>
                <w:szCs w:val="24"/>
              </w:rPr>
              <w:t>: Ein Fallbeispiel zur Problematik der Leistungsbewertung in der Schule (Brief einer Mutter an die Deutschlehrerin ihres Sohnes) – Arbeit in Gruppen von 3-4 T</w:t>
            </w:r>
            <w:r>
              <w:rPr>
                <w:bCs/>
                <w:sz w:val="24"/>
                <w:szCs w:val="24"/>
              </w:rPr>
              <w:t>N (Aufgabenstellung auf AB1)</w:t>
            </w:r>
            <w:r w:rsidRPr="00CB6FB3">
              <w:rPr>
                <w:rFonts w:cs="Calibri"/>
                <w:sz w:val="24"/>
                <w:szCs w:val="24"/>
              </w:rPr>
              <w:t xml:space="preserve"> </w:t>
            </w:r>
          </w:p>
        </w:tc>
        <w:tc>
          <w:tcPr>
            <w:tcW w:w="4008" w:type="dxa"/>
            <w:shd w:val="clear" w:color="auto" w:fill="auto"/>
          </w:tcPr>
          <w:p w14:paraId="464F2AF0" w14:textId="77777777" w:rsidR="00A1275C" w:rsidRPr="005504F2" w:rsidRDefault="00A1275C" w:rsidP="00ED4FE0">
            <w:pPr>
              <w:spacing w:after="240" w:line="276" w:lineRule="auto"/>
              <w:rPr>
                <w:rFonts w:cstheme="minorHAnsi"/>
                <w:lang w:val="en-US"/>
              </w:rPr>
            </w:pPr>
            <w:proofErr w:type="spellStart"/>
            <w:r w:rsidRPr="005504F2">
              <w:rPr>
                <w:rFonts w:cstheme="minorHAnsi"/>
                <w:lang w:val="en-US"/>
              </w:rPr>
              <w:lastRenderedPageBreak/>
              <w:t>BaCuLit</w:t>
            </w:r>
            <w:proofErr w:type="spellEnd"/>
            <w:r w:rsidRPr="005504F2">
              <w:rPr>
                <w:rFonts w:cstheme="minorHAnsi"/>
                <w:lang w:val="en-US"/>
              </w:rPr>
              <w:t xml:space="preserve"> </w:t>
            </w:r>
            <w:r>
              <w:rPr>
                <w:rFonts w:cstheme="minorHAnsi"/>
                <w:lang w:val="en-US"/>
              </w:rPr>
              <w:t>M9</w:t>
            </w:r>
            <w:r w:rsidRPr="005504F2">
              <w:rPr>
                <w:rFonts w:cstheme="minorHAnsi"/>
                <w:lang w:val="en-US"/>
              </w:rPr>
              <w:t>_</w:t>
            </w:r>
            <w:r>
              <w:rPr>
                <w:rFonts w:cstheme="minorHAnsi"/>
                <w:lang w:val="en-US"/>
              </w:rPr>
              <w:t xml:space="preserve">1 </w:t>
            </w:r>
            <w:r w:rsidRPr="005504F2">
              <w:rPr>
                <w:rFonts w:cstheme="minorHAnsi"/>
                <w:lang w:val="en-US"/>
              </w:rPr>
              <w:t>PPT1</w:t>
            </w:r>
          </w:p>
          <w:p w14:paraId="29DFC8F6" w14:textId="290CAF92" w:rsidR="00C532F7" w:rsidRDefault="00C532F7" w:rsidP="00ED4FE0">
            <w:pPr>
              <w:spacing w:after="240" w:line="276" w:lineRule="auto"/>
              <w:rPr>
                <w:rFonts w:cstheme="minorHAnsi"/>
                <w:lang w:val="en-US"/>
              </w:rPr>
            </w:pPr>
            <w:proofErr w:type="spellStart"/>
            <w:r w:rsidRPr="005504F2">
              <w:rPr>
                <w:rFonts w:cstheme="minorHAnsi"/>
                <w:lang w:val="en-US"/>
              </w:rPr>
              <w:lastRenderedPageBreak/>
              <w:t>BaCuLit</w:t>
            </w:r>
            <w:proofErr w:type="spellEnd"/>
            <w:r w:rsidRPr="005504F2">
              <w:rPr>
                <w:rFonts w:cstheme="minorHAnsi"/>
                <w:lang w:val="en-US"/>
              </w:rPr>
              <w:t xml:space="preserve"> </w:t>
            </w:r>
            <w:r>
              <w:rPr>
                <w:rFonts w:cstheme="minorHAnsi"/>
                <w:lang w:val="en-US"/>
              </w:rPr>
              <w:t>M9</w:t>
            </w:r>
            <w:r w:rsidRPr="005504F2">
              <w:rPr>
                <w:rFonts w:cstheme="minorHAnsi"/>
                <w:lang w:val="en-US"/>
              </w:rPr>
              <w:t>_</w:t>
            </w:r>
            <w:r>
              <w:rPr>
                <w:rFonts w:cstheme="minorHAnsi"/>
                <w:lang w:val="en-US"/>
              </w:rPr>
              <w:t xml:space="preserve">1 </w:t>
            </w:r>
            <w:r w:rsidRPr="005504F2">
              <w:rPr>
                <w:rFonts w:cstheme="minorHAnsi"/>
                <w:lang w:val="en-US"/>
              </w:rPr>
              <w:t>PPT1</w:t>
            </w:r>
          </w:p>
          <w:p w14:paraId="662F1C2A" w14:textId="3DA624D5" w:rsidR="00A1275C" w:rsidRPr="0081460B" w:rsidRDefault="00A1275C" w:rsidP="00ED4FE0">
            <w:pPr>
              <w:spacing w:after="240" w:line="276" w:lineRule="auto"/>
              <w:rPr>
                <w:rFonts w:cstheme="minorHAnsi"/>
                <w:lang w:val="en-US"/>
              </w:rPr>
            </w:pPr>
            <w:proofErr w:type="spellStart"/>
            <w:r w:rsidRPr="0081460B">
              <w:rPr>
                <w:rFonts w:cstheme="minorHAnsi"/>
                <w:lang w:val="en-US"/>
              </w:rPr>
              <w:t>BaCuLit</w:t>
            </w:r>
            <w:proofErr w:type="spellEnd"/>
            <w:r w:rsidRPr="0081460B">
              <w:rPr>
                <w:rFonts w:cstheme="minorHAnsi"/>
                <w:lang w:val="en-US"/>
              </w:rPr>
              <w:t xml:space="preserve"> </w:t>
            </w:r>
            <w:r>
              <w:rPr>
                <w:rFonts w:cstheme="minorHAnsi"/>
                <w:lang w:val="en-US"/>
              </w:rPr>
              <w:t>M9</w:t>
            </w:r>
            <w:r w:rsidRPr="005504F2">
              <w:rPr>
                <w:rFonts w:cstheme="minorHAnsi"/>
                <w:lang w:val="en-US"/>
              </w:rPr>
              <w:t>_</w:t>
            </w:r>
            <w:r>
              <w:rPr>
                <w:rFonts w:cstheme="minorHAnsi"/>
                <w:lang w:val="en-US"/>
              </w:rPr>
              <w:t xml:space="preserve">1 </w:t>
            </w:r>
            <w:r w:rsidRPr="0081460B">
              <w:rPr>
                <w:rFonts w:cstheme="minorHAnsi"/>
                <w:lang w:val="en-US"/>
              </w:rPr>
              <w:t>AB1</w:t>
            </w:r>
          </w:p>
        </w:tc>
        <w:tc>
          <w:tcPr>
            <w:tcW w:w="1524" w:type="dxa"/>
          </w:tcPr>
          <w:p w14:paraId="38587570" w14:textId="43EC6C2A" w:rsidR="00A1275C" w:rsidRPr="006710FF" w:rsidRDefault="00A1275C" w:rsidP="00ED4FE0">
            <w:pPr>
              <w:spacing w:after="120" w:line="276" w:lineRule="auto"/>
              <w:jc w:val="both"/>
              <w:rPr>
                <w:sz w:val="24"/>
                <w:szCs w:val="24"/>
              </w:rPr>
            </w:pPr>
            <w:r w:rsidRPr="00F06437">
              <w:rPr>
                <w:sz w:val="24"/>
                <w:szCs w:val="24"/>
              </w:rPr>
              <w:lastRenderedPageBreak/>
              <w:t>Folie 1, 3-</w:t>
            </w:r>
            <w:r w:rsidR="00C532F7">
              <w:rPr>
                <w:sz w:val="24"/>
                <w:szCs w:val="24"/>
              </w:rPr>
              <w:t>5</w:t>
            </w:r>
          </w:p>
          <w:p w14:paraId="349E1F08" w14:textId="4204E0D9" w:rsidR="00A1275C" w:rsidRPr="00404E38" w:rsidRDefault="00C532F7" w:rsidP="00ED4FE0">
            <w:pPr>
              <w:spacing w:after="240" w:line="276" w:lineRule="auto"/>
              <w:rPr>
                <w:rFonts w:cstheme="minorHAnsi"/>
                <w:lang w:val="en-US"/>
              </w:rPr>
            </w:pPr>
            <w:r>
              <w:rPr>
                <w:rFonts w:cstheme="minorHAnsi"/>
                <w:lang w:val="en-US"/>
              </w:rPr>
              <w:lastRenderedPageBreak/>
              <w:t>Folie 6-7</w:t>
            </w:r>
          </w:p>
        </w:tc>
      </w:tr>
      <w:tr w:rsidR="00A1275C" w:rsidRPr="005504F2" w14:paraId="765825FC" w14:textId="77777777" w:rsidTr="00ED4FE0">
        <w:tc>
          <w:tcPr>
            <w:tcW w:w="1044" w:type="dxa"/>
          </w:tcPr>
          <w:p w14:paraId="32714B6E" w14:textId="77777777" w:rsidR="00A1275C" w:rsidRPr="00CB6FB3" w:rsidRDefault="00A1275C" w:rsidP="00ED4FE0">
            <w:pPr>
              <w:spacing w:line="276" w:lineRule="auto"/>
              <w:rPr>
                <w:rFonts w:cstheme="minorHAnsi"/>
                <w:sz w:val="24"/>
                <w:szCs w:val="24"/>
              </w:rPr>
            </w:pPr>
            <w:r w:rsidRPr="00CB6FB3">
              <w:rPr>
                <w:rFonts w:cstheme="minorHAnsi"/>
                <w:sz w:val="24"/>
                <w:szCs w:val="24"/>
              </w:rPr>
              <w:lastRenderedPageBreak/>
              <w:t>10 Min.</w:t>
            </w:r>
          </w:p>
        </w:tc>
        <w:tc>
          <w:tcPr>
            <w:tcW w:w="7701" w:type="dxa"/>
          </w:tcPr>
          <w:p w14:paraId="3F679912" w14:textId="114C5C5F" w:rsidR="00A1275C" w:rsidRPr="00CB6FB3" w:rsidRDefault="00A1275C" w:rsidP="00ED4FE0">
            <w:pPr>
              <w:spacing w:line="276" w:lineRule="auto"/>
              <w:rPr>
                <w:rFonts w:cstheme="minorHAnsi"/>
                <w:bCs/>
                <w:sz w:val="24"/>
                <w:szCs w:val="24"/>
              </w:rPr>
            </w:pPr>
            <w:r w:rsidRPr="00CB6FB3">
              <w:rPr>
                <w:rFonts w:cstheme="minorHAnsi"/>
                <w:b/>
                <w:sz w:val="24"/>
                <w:szCs w:val="24"/>
              </w:rPr>
              <w:t xml:space="preserve">Auswertung im Plenum: Berichte aus den Gruppen; </w:t>
            </w:r>
            <w:r w:rsidRPr="00CB6FB3">
              <w:rPr>
                <w:rFonts w:cstheme="minorHAnsi"/>
                <w:bCs/>
                <w:sz w:val="24"/>
                <w:szCs w:val="24"/>
              </w:rPr>
              <w:t>Sammlung von Stichworten zu Problemen und innovativen Lösungen zur Leistungsbewertung in der Schule (Trainer</w:t>
            </w:r>
            <w:r w:rsidR="005D2658">
              <w:rPr>
                <w:rFonts w:cstheme="minorHAnsi"/>
                <w:bCs/>
                <w:sz w:val="24"/>
                <w:szCs w:val="24"/>
              </w:rPr>
              <w:t>in</w:t>
            </w:r>
            <w:r w:rsidRPr="00CB6FB3">
              <w:rPr>
                <w:rFonts w:cstheme="minorHAnsi"/>
                <w:bCs/>
                <w:sz w:val="24"/>
                <w:szCs w:val="24"/>
              </w:rPr>
              <w:t>/</w:t>
            </w:r>
            <w:r w:rsidR="005D2658">
              <w:rPr>
                <w:rFonts w:cstheme="minorHAnsi"/>
                <w:bCs/>
                <w:sz w:val="24"/>
                <w:szCs w:val="24"/>
              </w:rPr>
              <w:t>Trai</w:t>
            </w:r>
            <w:r w:rsidRPr="00CB6FB3">
              <w:rPr>
                <w:rFonts w:cstheme="minorHAnsi"/>
                <w:bCs/>
                <w:sz w:val="24"/>
                <w:szCs w:val="24"/>
              </w:rPr>
              <w:t>n</w:t>
            </w:r>
            <w:r w:rsidR="005D2658">
              <w:rPr>
                <w:rFonts w:cstheme="minorHAnsi"/>
                <w:bCs/>
                <w:sz w:val="24"/>
                <w:szCs w:val="24"/>
              </w:rPr>
              <w:t>er</w:t>
            </w:r>
            <w:r w:rsidRPr="00CB6FB3">
              <w:rPr>
                <w:rFonts w:cstheme="minorHAnsi"/>
                <w:bCs/>
                <w:sz w:val="24"/>
                <w:szCs w:val="24"/>
              </w:rPr>
              <w:t xml:space="preserve"> notiert ggf. Stichworte auf Moderationskarten und heftet sie an die Pinwand / zwei Spalten: „Probleme“ – „Lösungen“)</w:t>
            </w:r>
          </w:p>
        </w:tc>
        <w:tc>
          <w:tcPr>
            <w:tcW w:w="4008" w:type="dxa"/>
          </w:tcPr>
          <w:p w14:paraId="046826C7" w14:textId="77777777" w:rsidR="00A1275C" w:rsidRPr="00CB6FB3" w:rsidRDefault="00A1275C" w:rsidP="00ED4FE0">
            <w:pPr>
              <w:spacing w:after="240" w:line="276" w:lineRule="auto"/>
              <w:rPr>
                <w:rFonts w:cstheme="minorHAnsi"/>
                <w:sz w:val="24"/>
                <w:szCs w:val="24"/>
              </w:rPr>
            </w:pPr>
            <w:r w:rsidRPr="00CB6FB3">
              <w:rPr>
                <w:rFonts w:cstheme="minorHAnsi"/>
                <w:sz w:val="24"/>
                <w:szCs w:val="24"/>
              </w:rPr>
              <w:t>(ggf. Pinwand / Flipchart oder Tafel; Moderationskarten in zwei Farben und Pinnadeln)</w:t>
            </w:r>
          </w:p>
          <w:p w14:paraId="2AA44E9A" w14:textId="05B2D0EF" w:rsidR="00A1275C" w:rsidRPr="00792BF0" w:rsidRDefault="00A1275C" w:rsidP="00ED4FE0">
            <w:pPr>
              <w:spacing w:after="240" w:line="276" w:lineRule="auto"/>
              <w:rPr>
                <w:rFonts w:cstheme="minorHAnsi"/>
              </w:rPr>
            </w:pPr>
          </w:p>
        </w:tc>
        <w:tc>
          <w:tcPr>
            <w:tcW w:w="1524" w:type="dxa"/>
          </w:tcPr>
          <w:p w14:paraId="7C682729" w14:textId="77777777" w:rsidR="00A1275C" w:rsidRPr="00CB6FB3" w:rsidRDefault="00A1275C" w:rsidP="00ED4FE0">
            <w:pPr>
              <w:spacing w:after="120"/>
              <w:jc w:val="both"/>
              <w:rPr>
                <w:rFonts w:cstheme="minorHAnsi"/>
                <w:sz w:val="24"/>
                <w:szCs w:val="24"/>
              </w:rPr>
            </w:pPr>
          </w:p>
          <w:p w14:paraId="42B33918" w14:textId="77777777" w:rsidR="00A1275C" w:rsidRPr="00CB6FB3" w:rsidRDefault="00A1275C" w:rsidP="00ED4FE0">
            <w:pPr>
              <w:spacing w:after="120"/>
              <w:jc w:val="both"/>
              <w:rPr>
                <w:rFonts w:cstheme="minorHAnsi"/>
                <w:sz w:val="24"/>
                <w:szCs w:val="24"/>
              </w:rPr>
            </w:pPr>
          </w:p>
          <w:p w14:paraId="70A22874" w14:textId="77777777" w:rsidR="00A1275C" w:rsidRPr="00CB6FB3" w:rsidRDefault="00A1275C" w:rsidP="00ED4FE0">
            <w:pPr>
              <w:spacing w:after="120"/>
              <w:jc w:val="both"/>
              <w:rPr>
                <w:rFonts w:cstheme="minorHAnsi"/>
                <w:sz w:val="24"/>
                <w:szCs w:val="24"/>
              </w:rPr>
            </w:pPr>
          </w:p>
          <w:p w14:paraId="17F6E912" w14:textId="38062310" w:rsidR="00A1275C" w:rsidRPr="00CB6FB3" w:rsidRDefault="00A1275C" w:rsidP="00ED4FE0">
            <w:pPr>
              <w:spacing w:after="120"/>
              <w:jc w:val="both"/>
              <w:rPr>
                <w:rFonts w:cstheme="minorHAnsi"/>
                <w:sz w:val="24"/>
                <w:szCs w:val="24"/>
              </w:rPr>
            </w:pPr>
          </w:p>
        </w:tc>
      </w:tr>
      <w:tr w:rsidR="00A1275C" w:rsidRPr="005504F2" w14:paraId="4C692F3E" w14:textId="77777777" w:rsidTr="00ED4FE0">
        <w:tc>
          <w:tcPr>
            <w:tcW w:w="1044" w:type="dxa"/>
          </w:tcPr>
          <w:p w14:paraId="2EB63B92" w14:textId="77777777" w:rsidR="00A1275C" w:rsidRPr="000662A9" w:rsidRDefault="00A1275C" w:rsidP="00ED4FE0">
            <w:pPr>
              <w:rPr>
                <w:rFonts w:cstheme="minorHAnsi"/>
                <w:lang w:val="en-GB"/>
              </w:rPr>
            </w:pPr>
            <w:r w:rsidRPr="000662A9">
              <w:rPr>
                <w:rFonts w:cstheme="minorHAnsi"/>
                <w:lang w:val="en-GB"/>
              </w:rPr>
              <w:t>20 Min.</w:t>
            </w:r>
          </w:p>
        </w:tc>
        <w:tc>
          <w:tcPr>
            <w:tcW w:w="7701" w:type="dxa"/>
          </w:tcPr>
          <w:p w14:paraId="20180FCE" w14:textId="77777777" w:rsidR="00A1275C" w:rsidRPr="000662A9" w:rsidRDefault="00A1275C" w:rsidP="00ED4FE0">
            <w:pPr>
              <w:spacing w:line="276" w:lineRule="auto"/>
              <w:jc w:val="both"/>
              <w:rPr>
                <w:b/>
                <w:color w:val="C00000"/>
                <w:sz w:val="24"/>
                <w:szCs w:val="24"/>
              </w:rPr>
            </w:pPr>
            <w:r w:rsidRPr="000662A9">
              <w:rPr>
                <w:b/>
                <w:sz w:val="24"/>
                <w:szCs w:val="24"/>
              </w:rPr>
              <w:t>Vertiefung</w:t>
            </w:r>
            <w:r>
              <w:rPr>
                <w:b/>
                <w:sz w:val="24"/>
                <w:szCs w:val="24"/>
              </w:rPr>
              <w:t xml:space="preserve"> / Systematisierung</w:t>
            </w:r>
            <w:r w:rsidRPr="000662A9">
              <w:rPr>
                <w:b/>
                <w:sz w:val="24"/>
                <w:szCs w:val="24"/>
              </w:rPr>
              <w:t xml:space="preserve"> durch </w:t>
            </w:r>
            <w:r>
              <w:rPr>
                <w:b/>
                <w:sz w:val="24"/>
                <w:szCs w:val="24"/>
              </w:rPr>
              <w:t xml:space="preserve">Trainer-Input und </w:t>
            </w:r>
            <w:r w:rsidRPr="000662A9">
              <w:rPr>
                <w:b/>
                <w:sz w:val="24"/>
                <w:szCs w:val="24"/>
              </w:rPr>
              <w:t>Diskussion</w:t>
            </w:r>
          </w:p>
          <w:p w14:paraId="1BDF9996" w14:textId="3F0F8F78" w:rsidR="00A1275C" w:rsidRPr="000662A9" w:rsidRDefault="0062259A" w:rsidP="00ED4FE0">
            <w:pPr>
              <w:spacing w:line="276" w:lineRule="auto"/>
              <w:jc w:val="both"/>
              <w:rPr>
                <w:sz w:val="24"/>
                <w:szCs w:val="24"/>
              </w:rPr>
            </w:pPr>
            <w:r w:rsidRPr="000662A9">
              <w:rPr>
                <w:sz w:val="24"/>
                <w:szCs w:val="24"/>
              </w:rPr>
              <w:t>Problematik von Notengebung und Alternativen</w:t>
            </w:r>
            <w:r>
              <w:rPr>
                <w:sz w:val="24"/>
                <w:szCs w:val="24"/>
              </w:rPr>
              <w:t>; Unterschiede summativ / formativ:</w:t>
            </w:r>
            <w:r w:rsidRPr="000662A9">
              <w:rPr>
                <w:sz w:val="24"/>
                <w:szCs w:val="24"/>
              </w:rPr>
              <w:t xml:space="preserve"> </w:t>
            </w:r>
            <w:r>
              <w:rPr>
                <w:sz w:val="24"/>
                <w:szCs w:val="24"/>
              </w:rPr>
              <w:t>d</w:t>
            </w:r>
            <w:r w:rsidR="00A1275C" w:rsidRPr="000662A9">
              <w:rPr>
                <w:sz w:val="24"/>
                <w:szCs w:val="24"/>
              </w:rPr>
              <w:t xml:space="preserve">rei Formen von Assessments, defizit- und ressourcen-orientierte Lernkulturen; </w:t>
            </w:r>
            <w:r>
              <w:rPr>
                <w:sz w:val="24"/>
                <w:szCs w:val="24"/>
              </w:rPr>
              <w:t>d</w:t>
            </w:r>
            <w:r w:rsidR="00A1275C" w:rsidRPr="000662A9">
              <w:rPr>
                <w:sz w:val="24"/>
                <w:szCs w:val="24"/>
              </w:rPr>
              <w:t>iagnostische Kompetenz von Lehrkräften</w:t>
            </w:r>
            <w:r w:rsidR="000F2777">
              <w:rPr>
                <w:sz w:val="24"/>
                <w:szCs w:val="24"/>
              </w:rPr>
              <w:t>.</w:t>
            </w:r>
            <w:r w:rsidR="00A1275C" w:rsidRPr="000662A9">
              <w:rPr>
                <w:sz w:val="24"/>
                <w:szCs w:val="24"/>
              </w:rPr>
              <w:t xml:space="preserve"> </w:t>
            </w:r>
          </w:p>
          <w:p w14:paraId="6C13CE6E" w14:textId="77777777" w:rsidR="00A1275C" w:rsidRPr="000662A9" w:rsidRDefault="00A1275C" w:rsidP="00ED4FE0">
            <w:pPr>
              <w:spacing w:line="276" w:lineRule="auto"/>
              <w:rPr>
                <w:rFonts w:cstheme="minorHAnsi"/>
              </w:rPr>
            </w:pPr>
            <w:r w:rsidRPr="000662A9">
              <w:rPr>
                <w:sz w:val="24"/>
                <w:szCs w:val="24"/>
              </w:rPr>
              <w:t>Zeit für Fragen und Kommentare</w:t>
            </w:r>
          </w:p>
        </w:tc>
        <w:tc>
          <w:tcPr>
            <w:tcW w:w="4008" w:type="dxa"/>
          </w:tcPr>
          <w:p w14:paraId="7F6702EF" w14:textId="77777777" w:rsidR="00A1275C" w:rsidRPr="00474377" w:rsidRDefault="00A1275C" w:rsidP="00ED4FE0">
            <w:pPr>
              <w:spacing w:line="276" w:lineRule="auto"/>
              <w:rPr>
                <w:rFonts w:cstheme="minorHAnsi"/>
                <w:lang w:val="en-US"/>
              </w:rPr>
            </w:pPr>
            <w:proofErr w:type="spellStart"/>
            <w:r w:rsidRPr="00792BF0">
              <w:rPr>
                <w:rFonts w:cstheme="minorHAnsi"/>
              </w:rPr>
              <w:t>BaCuLit</w:t>
            </w:r>
            <w:proofErr w:type="spellEnd"/>
            <w:r w:rsidRPr="00792BF0">
              <w:rPr>
                <w:rFonts w:cstheme="minorHAnsi"/>
              </w:rPr>
              <w:t xml:space="preserve"> M9_1 PPT1</w:t>
            </w:r>
          </w:p>
          <w:p w14:paraId="2DE89957" w14:textId="77777777" w:rsidR="00A1275C" w:rsidRPr="00474377" w:rsidRDefault="00A1275C" w:rsidP="00ED4FE0">
            <w:pPr>
              <w:spacing w:line="276" w:lineRule="auto"/>
              <w:rPr>
                <w:rFonts w:cstheme="minorHAnsi"/>
                <w:lang w:val="en-US"/>
              </w:rPr>
            </w:pPr>
          </w:p>
          <w:p w14:paraId="4F4F64AA" w14:textId="77777777" w:rsidR="00A1275C" w:rsidRPr="00474377" w:rsidRDefault="00A1275C" w:rsidP="00ED4FE0">
            <w:pPr>
              <w:spacing w:line="276" w:lineRule="auto"/>
              <w:rPr>
                <w:rFonts w:cstheme="minorHAnsi"/>
                <w:lang w:val="en-US"/>
              </w:rPr>
            </w:pPr>
          </w:p>
        </w:tc>
        <w:tc>
          <w:tcPr>
            <w:tcW w:w="1524" w:type="dxa"/>
          </w:tcPr>
          <w:p w14:paraId="25971540" w14:textId="10B9B2DD" w:rsidR="00A1275C" w:rsidRPr="006710FF" w:rsidRDefault="00A1275C" w:rsidP="00ED4FE0">
            <w:pPr>
              <w:spacing w:line="276" w:lineRule="auto"/>
              <w:jc w:val="both"/>
              <w:rPr>
                <w:sz w:val="24"/>
                <w:szCs w:val="24"/>
              </w:rPr>
            </w:pPr>
            <w:r>
              <w:rPr>
                <w:sz w:val="24"/>
                <w:szCs w:val="24"/>
              </w:rPr>
              <w:t>F</w:t>
            </w:r>
            <w:r w:rsidRPr="006710FF">
              <w:rPr>
                <w:sz w:val="24"/>
                <w:szCs w:val="24"/>
              </w:rPr>
              <w:t>olie</w:t>
            </w:r>
            <w:r>
              <w:rPr>
                <w:sz w:val="24"/>
                <w:szCs w:val="24"/>
              </w:rPr>
              <w:t xml:space="preserve">n </w:t>
            </w:r>
            <w:r w:rsidR="00CF1CFB">
              <w:rPr>
                <w:sz w:val="24"/>
                <w:szCs w:val="24"/>
              </w:rPr>
              <w:t>8-</w:t>
            </w:r>
            <w:r>
              <w:rPr>
                <w:sz w:val="24"/>
                <w:szCs w:val="24"/>
              </w:rPr>
              <w:t>1</w:t>
            </w:r>
            <w:r w:rsidR="000F2777">
              <w:rPr>
                <w:sz w:val="24"/>
                <w:szCs w:val="24"/>
              </w:rPr>
              <w:t>9</w:t>
            </w:r>
            <w:r w:rsidR="00CF1CFB">
              <w:rPr>
                <w:sz w:val="24"/>
                <w:szCs w:val="24"/>
              </w:rPr>
              <w:t xml:space="preserve"> </w:t>
            </w:r>
          </w:p>
          <w:p w14:paraId="3016F04C" w14:textId="77777777" w:rsidR="00A1275C" w:rsidRDefault="00A1275C" w:rsidP="00ED4FE0">
            <w:pPr>
              <w:spacing w:line="276" w:lineRule="auto"/>
              <w:jc w:val="both"/>
              <w:rPr>
                <w:sz w:val="24"/>
                <w:szCs w:val="24"/>
              </w:rPr>
            </w:pPr>
          </w:p>
          <w:p w14:paraId="7B0D685A" w14:textId="74023971" w:rsidR="00A1275C" w:rsidRPr="000662A9" w:rsidRDefault="00A1275C" w:rsidP="00ED4FE0">
            <w:pPr>
              <w:spacing w:line="276" w:lineRule="auto"/>
              <w:jc w:val="both"/>
              <w:rPr>
                <w:sz w:val="24"/>
                <w:szCs w:val="24"/>
              </w:rPr>
            </w:pPr>
          </w:p>
        </w:tc>
      </w:tr>
      <w:tr w:rsidR="00A1275C" w:rsidRPr="005504F2" w14:paraId="467B986F" w14:textId="77777777" w:rsidTr="00ED4FE0">
        <w:tc>
          <w:tcPr>
            <w:tcW w:w="1044" w:type="dxa"/>
          </w:tcPr>
          <w:p w14:paraId="7A4642C0" w14:textId="77777777" w:rsidR="00A1275C" w:rsidRPr="00474377" w:rsidRDefault="00A1275C" w:rsidP="00ED4FE0">
            <w:pPr>
              <w:rPr>
                <w:rFonts w:cstheme="minorHAnsi"/>
              </w:rPr>
            </w:pPr>
            <w:r w:rsidRPr="00474377">
              <w:rPr>
                <w:rFonts w:cstheme="minorHAnsi"/>
              </w:rPr>
              <w:t>40 Min.</w:t>
            </w:r>
          </w:p>
          <w:p w14:paraId="747BA8CC" w14:textId="77777777" w:rsidR="00A1275C" w:rsidRPr="00474377" w:rsidRDefault="00A1275C" w:rsidP="00ED4FE0">
            <w:pPr>
              <w:rPr>
                <w:rFonts w:cstheme="minorHAnsi"/>
              </w:rPr>
            </w:pPr>
            <w:r w:rsidRPr="00474377">
              <w:rPr>
                <w:rFonts w:cstheme="minorHAnsi"/>
              </w:rPr>
              <w:t>(10 Min. + 10 Min.</w:t>
            </w:r>
          </w:p>
          <w:p w14:paraId="07C9570F" w14:textId="699573E0" w:rsidR="00A1275C" w:rsidRPr="00474377" w:rsidRDefault="00A1275C" w:rsidP="00ED4FE0">
            <w:pPr>
              <w:rPr>
                <w:rFonts w:cstheme="minorHAnsi"/>
              </w:rPr>
            </w:pPr>
            <w:r w:rsidRPr="00474377">
              <w:rPr>
                <w:rFonts w:cstheme="minorHAnsi"/>
              </w:rPr>
              <w:t xml:space="preserve">+ </w:t>
            </w:r>
            <w:r w:rsidR="008E250A">
              <w:rPr>
                <w:rFonts w:cstheme="minorHAnsi"/>
              </w:rPr>
              <w:t>2</w:t>
            </w:r>
            <w:r w:rsidRPr="00474377">
              <w:rPr>
                <w:rFonts w:cstheme="minorHAnsi"/>
              </w:rPr>
              <w:t>0 Min.</w:t>
            </w:r>
            <w:r>
              <w:rPr>
                <w:rFonts w:cstheme="minorHAnsi"/>
              </w:rPr>
              <w:t>)</w:t>
            </w:r>
          </w:p>
        </w:tc>
        <w:tc>
          <w:tcPr>
            <w:tcW w:w="7701" w:type="dxa"/>
          </w:tcPr>
          <w:p w14:paraId="521D805D" w14:textId="665EFFAC" w:rsidR="00A1275C" w:rsidRPr="001B06A2" w:rsidRDefault="00A1275C" w:rsidP="00ED4FE0">
            <w:pPr>
              <w:spacing w:line="276" w:lineRule="auto"/>
              <w:jc w:val="both"/>
              <w:rPr>
                <w:bCs/>
                <w:sz w:val="24"/>
                <w:szCs w:val="24"/>
              </w:rPr>
            </w:pPr>
            <w:r>
              <w:rPr>
                <w:b/>
                <w:sz w:val="24"/>
                <w:szCs w:val="24"/>
              </w:rPr>
              <w:t xml:space="preserve">Think-Pair-Share-Aktivität: </w:t>
            </w:r>
            <w:r>
              <w:rPr>
                <w:bCs/>
                <w:sz w:val="24"/>
                <w:szCs w:val="24"/>
              </w:rPr>
              <w:t>Jede/r TN füllt eine Checkliste zur Verwendung diagnostischer Methoden im eigenen Unterricht aus (10 Min.) und tauscht sich mit einer Partnerin / einem Partner darüber aus, welche Verfahren er / sie nicht kennt bzw. gern einsetzen würde (10 Min.). Die Paare bringen ihre Ergebnisse in die Gesamtgruppe ein; Trainerin</w:t>
            </w:r>
            <w:r w:rsidR="005D2658">
              <w:rPr>
                <w:bCs/>
                <w:sz w:val="24"/>
                <w:szCs w:val="24"/>
              </w:rPr>
              <w:t>/Trainer</w:t>
            </w:r>
            <w:r>
              <w:rPr>
                <w:bCs/>
                <w:sz w:val="24"/>
                <w:szCs w:val="24"/>
              </w:rPr>
              <w:t xml:space="preserve"> hält ggf. Stichworte fest. Anschließend reflektiert die Gruppe, welche Methoden vertraut sind und welche nicht (</w:t>
            </w:r>
            <w:r w:rsidR="008E250A">
              <w:rPr>
                <w:bCs/>
                <w:sz w:val="24"/>
                <w:szCs w:val="24"/>
              </w:rPr>
              <w:t>2</w:t>
            </w:r>
            <w:r>
              <w:rPr>
                <w:bCs/>
                <w:sz w:val="24"/>
                <w:szCs w:val="24"/>
              </w:rPr>
              <w:t xml:space="preserve">0 Min.). Abschluss: Zwischenfazit zu den drei Grundprinzipien der </w:t>
            </w:r>
            <w:proofErr w:type="spellStart"/>
            <w:r>
              <w:rPr>
                <w:bCs/>
                <w:sz w:val="24"/>
                <w:szCs w:val="24"/>
              </w:rPr>
              <w:t>BaCuLit</w:t>
            </w:r>
            <w:proofErr w:type="spellEnd"/>
            <w:r>
              <w:rPr>
                <w:bCs/>
                <w:sz w:val="24"/>
                <w:szCs w:val="24"/>
              </w:rPr>
              <w:t>-Unterrichtsplanung (Folie 24).</w:t>
            </w:r>
          </w:p>
        </w:tc>
        <w:tc>
          <w:tcPr>
            <w:tcW w:w="4008" w:type="dxa"/>
          </w:tcPr>
          <w:p w14:paraId="50D2462D" w14:textId="77777777" w:rsidR="00A1275C" w:rsidRPr="00332382" w:rsidRDefault="00A1275C" w:rsidP="00ED4FE0">
            <w:pPr>
              <w:spacing w:line="276" w:lineRule="auto"/>
              <w:rPr>
                <w:rFonts w:cstheme="minorHAnsi"/>
              </w:rPr>
            </w:pPr>
            <w:proofErr w:type="spellStart"/>
            <w:r w:rsidRPr="00792BF0">
              <w:rPr>
                <w:rFonts w:cstheme="minorHAnsi"/>
              </w:rPr>
              <w:t>BaCuLit</w:t>
            </w:r>
            <w:proofErr w:type="spellEnd"/>
            <w:r w:rsidRPr="00792BF0">
              <w:rPr>
                <w:rFonts w:cstheme="minorHAnsi"/>
              </w:rPr>
              <w:t xml:space="preserve"> M9_1 PPT1</w:t>
            </w:r>
          </w:p>
          <w:p w14:paraId="49047487" w14:textId="0701282F" w:rsidR="00A1275C" w:rsidRDefault="00A1275C" w:rsidP="00ED4FE0">
            <w:pPr>
              <w:spacing w:after="240" w:line="276" w:lineRule="auto"/>
              <w:rPr>
                <w:rFonts w:cstheme="minorHAnsi"/>
              </w:rPr>
            </w:pPr>
            <w:proofErr w:type="spellStart"/>
            <w:r w:rsidRPr="00792BF0">
              <w:rPr>
                <w:rFonts w:cstheme="minorHAnsi"/>
              </w:rPr>
              <w:t>BaCuLit</w:t>
            </w:r>
            <w:proofErr w:type="spellEnd"/>
            <w:r w:rsidRPr="00792BF0">
              <w:rPr>
                <w:rFonts w:cstheme="minorHAnsi"/>
              </w:rPr>
              <w:t xml:space="preserve"> M9_1 AB</w:t>
            </w:r>
            <w:r>
              <w:rPr>
                <w:rFonts w:cstheme="minorHAnsi"/>
              </w:rPr>
              <w:t>2</w:t>
            </w:r>
          </w:p>
          <w:p w14:paraId="526F36E4" w14:textId="0F999BED" w:rsidR="000F2777" w:rsidRDefault="000F2777" w:rsidP="00ED4FE0">
            <w:pPr>
              <w:spacing w:after="240" w:line="276" w:lineRule="auto"/>
              <w:rPr>
                <w:rFonts w:cstheme="minorHAnsi"/>
              </w:rPr>
            </w:pPr>
          </w:p>
          <w:p w14:paraId="726149F9" w14:textId="77777777" w:rsidR="000F2777" w:rsidRPr="00332382" w:rsidRDefault="000F2777" w:rsidP="000F2777">
            <w:pPr>
              <w:spacing w:line="276" w:lineRule="auto"/>
              <w:rPr>
                <w:rFonts w:cstheme="minorHAnsi"/>
              </w:rPr>
            </w:pPr>
            <w:proofErr w:type="spellStart"/>
            <w:r w:rsidRPr="00792BF0">
              <w:rPr>
                <w:rFonts w:cstheme="minorHAnsi"/>
              </w:rPr>
              <w:t>BaCuLit</w:t>
            </w:r>
            <w:proofErr w:type="spellEnd"/>
            <w:r w:rsidRPr="00792BF0">
              <w:rPr>
                <w:rFonts w:cstheme="minorHAnsi"/>
              </w:rPr>
              <w:t xml:space="preserve"> M9_1 PPT1</w:t>
            </w:r>
          </w:p>
          <w:p w14:paraId="12FF976F" w14:textId="77777777" w:rsidR="000F2777" w:rsidRPr="005504F2" w:rsidRDefault="000F2777" w:rsidP="00ED4FE0">
            <w:pPr>
              <w:spacing w:after="240" w:line="276" w:lineRule="auto"/>
              <w:rPr>
                <w:rFonts w:cstheme="minorHAnsi"/>
              </w:rPr>
            </w:pPr>
          </w:p>
          <w:p w14:paraId="4AF74266" w14:textId="77777777" w:rsidR="00A1275C" w:rsidRPr="0015374E" w:rsidRDefault="00A1275C" w:rsidP="00ED4FE0">
            <w:pPr>
              <w:spacing w:after="240" w:line="276" w:lineRule="auto"/>
              <w:rPr>
                <w:rFonts w:cstheme="minorHAnsi"/>
              </w:rPr>
            </w:pPr>
          </w:p>
        </w:tc>
        <w:tc>
          <w:tcPr>
            <w:tcW w:w="1524" w:type="dxa"/>
          </w:tcPr>
          <w:p w14:paraId="0B89323F" w14:textId="77777777" w:rsidR="00A1275C" w:rsidRDefault="00A1275C" w:rsidP="00ED4FE0">
            <w:pPr>
              <w:spacing w:after="120" w:line="276" w:lineRule="auto"/>
              <w:rPr>
                <w:sz w:val="24"/>
                <w:szCs w:val="24"/>
              </w:rPr>
            </w:pPr>
            <w:r>
              <w:rPr>
                <w:sz w:val="24"/>
                <w:szCs w:val="24"/>
              </w:rPr>
              <w:t>Folien 20-21</w:t>
            </w:r>
          </w:p>
          <w:p w14:paraId="641720D3" w14:textId="77777777" w:rsidR="000F2777" w:rsidRDefault="000F2777" w:rsidP="00ED4FE0">
            <w:pPr>
              <w:spacing w:after="120" w:line="276" w:lineRule="auto"/>
              <w:rPr>
                <w:sz w:val="24"/>
                <w:szCs w:val="24"/>
              </w:rPr>
            </w:pPr>
          </w:p>
          <w:p w14:paraId="1DF63EE7" w14:textId="77777777" w:rsidR="000F2777" w:rsidRDefault="000F2777" w:rsidP="00ED4FE0">
            <w:pPr>
              <w:spacing w:after="120" w:line="276" w:lineRule="auto"/>
              <w:rPr>
                <w:sz w:val="24"/>
                <w:szCs w:val="24"/>
              </w:rPr>
            </w:pPr>
          </w:p>
          <w:p w14:paraId="0ABB175A" w14:textId="72AF962D" w:rsidR="000F2777" w:rsidRDefault="000F2777" w:rsidP="00ED4FE0">
            <w:pPr>
              <w:spacing w:after="120" w:line="276" w:lineRule="auto"/>
              <w:rPr>
                <w:sz w:val="24"/>
                <w:szCs w:val="24"/>
              </w:rPr>
            </w:pPr>
            <w:r>
              <w:rPr>
                <w:sz w:val="24"/>
                <w:szCs w:val="24"/>
              </w:rPr>
              <w:t>Folien 22-25</w:t>
            </w:r>
          </w:p>
        </w:tc>
      </w:tr>
      <w:tr w:rsidR="00A1275C" w:rsidRPr="008C5788" w14:paraId="2A8C5F2E" w14:textId="77777777" w:rsidTr="00ED4FE0">
        <w:tc>
          <w:tcPr>
            <w:tcW w:w="1044" w:type="dxa"/>
            <w:shd w:val="clear" w:color="auto" w:fill="1DFFFD"/>
          </w:tcPr>
          <w:p w14:paraId="0E93B1C5" w14:textId="77777777" w:rsidR="00A1275C" w:rsidRPr="008C5788" w:rsidRDefault="00A1275C" w:rsidP="00ED4FE0">
            <w:pPr>
              <w:jc w:val="both"/>
              <w:rPr>
                <w:rFonts w:cstheme="minorHAnsi"/>
              </w:rPr>
            </w:pPr>
          </w:p>
        </w:tc>
        <w:tc>
          <w:tcPr>
            <w:tcW w:w="7701" w:type="dxa"/>
            <w:shd w:val="clear" w:color="auto" w:fill="1DFFFD"/>
          </w:tcPr>
          <w:p w14:paraId="53178511" w14:textId="77777777" w:rsidR="00A1275C" w:rsidRPr="00D83AF6" w:rsidRDefault="00A1275C" w:rsidP="00ED4FE0">
            <w:pPr>
              <w:spacing w:line="276" w:lineRule="auto"/>
              <w:jc w:val="both"/>
              <w:rPr>
                <w:rFonts w:cstheme="minorHAnsi"/>
                <w:b/>
                <w:bCs/>
                <w:sz w:val="24"/>
                <w:szCs w:val="24"/>
              </w:rPr>
            </w:pPr>
            <w:r w:rsidRPr="00D83AF6">
              <w:rPr>
                <w:rFonts w:cstheme="minorHAnsi"/>
                <w:b/>
                <w:bCs/>
                <w:sz w:val="24"/>
                <w:szCs w:val="24"/>
              </w:rPr>
              <w:t>Kleine Pause</w:t>
            </w:r>
          </w:p>
        </w:tc>
        <w:tc>
          <w:tcPr>
            <w:tcW w:w="4008" w:type="dxa"/>
            <w:shd w:val="clear" w:color="auto" w:fill="1DFFFD"/>
          </w:tcPr>
          <w:p w14:paraId="4858C759" w14:textId="77777777" w:rsidR="00A1275C" w:rsidRPr="008C5788" w:rsidRDefault="00A1275C" w:rsidP="00ED4FE0">
            <w:pPr>
              <w:spacing w:after="240" w:line="276" w:lineRule="auto"/>
              <w:jc w:val="both"/>
              <w:rPr>
                <w:rFonts w:cstheme="minorHAnsi"/>
              </w:rPr>
            </w:pPr>
          </w:p>
        </w:tc>
        <w:tc>
          <w:tcPr>
            <w:tcW w:w="1524" w:type="dxa"/>
            <w:shd w:val="clear" w:color="auto" w:fill="1DFFFD"/>
          </w:tcPr>
          <w:p w14:paraId="10E489EF" w14:textId="7761BBDD" w:rsidR="00A1275C" w:rsidRPr="008C5788" w:rsidRDefault="00A1275C" w:rsidP="00ED4FE0">
            <w:pPr>
              <w:spacing w:after="240" w:line="276" w:lineRule="auto"/>
              <w:jc w:val="both"/>
              <w:rPr>
                <w:rFonts w:cstheme="minorHAnsi"/>
              </w:rPr>
            </w:pPr>
            <w:r>
              <w:rPr>
                <w:rFonts w:cstheme="minorHAnsi"/>
              </w:rPr>
              <w:t>Folie 2</w:t>
            </w:r>
            <w:r w:rsidR="000F2777">
              <w:rPr>
                <w:rFonts w:cstheme="minorHAnsi"/>
              </w:rPr>
              <w:t>6</w:t>
            </w:r>
          </w:p>
        </w:tc>
      </w:tr>
      <w:tr w:rsidR="00A1275C" w:rsidRPr="008C5788" w14:paraId="3B0AADF9" w14:textId="77777777" w:rsidTr="00ED4FE0">
        <w:tc>
          <w:tcPr>
            <w:tcW w:w="1044" w:type="dxa"/>
            <w:shd w:val="clear" w:color="auto" w:fill="D2C7DF"/>
          </w:tcPr>
          <w:p w14:paraId="662C3AE1" w14:textId="77777777" w:rsidR="00A1275C" w:rsidRPr="00227722" w:rsidRDefault="00A1275C" w:rsidP="00ED4FE0">
            <w:pPr>
              <w:jc w:val="both"/>
              <w:rPr>
                <w:rFonts w:cstheme="minorHAnsi"/>
                <w:b/>
                <w:sz w:val="24"/>
                <w:szCs w:val="24"/>
              </w:rPr>
            </w:pPr>
            <w:r>
              <w:rPr>
                <w:rFonts w:cstheme="minorHAnsi"/>
                <w:b/>
                <w:sz w:val="24"/>
                <w:szCs w:val="24"/>
              </w:rPr>
              <w:lastRenderedPageBreak/>
              <w:t>Zeit</w:t>
            </w:r>
          </w:p>
        </w:tc>
        <w:tc>
          <w:tcPr>
            <w:tcW w:w="7701" w:type="dxa"/>
            <w:shd w:val="clear" w:color="auto" w:fill="D2C7DF"/>
          </w:tcPr>
          <w:p w14:paraId="49DBBB67" w14:textId="77777777" w:rsidR="00A1275C" w:rsidRPr="002E789B" w:rsidRDefault="00A1275C" w:rsidP="00ED4FE0">
            <w:pPr>
              <w:spacing w:line="276" w:lineRule="auto"/>
              <w:jc w:val="both"/>
              <w:rPr>
                <w:b/>
                <w:sz w:val="24"/>
                <w:szCs w:val="24"/>
              </w:rPr>
            </w:pPr>
            <w:r>
              <w:rPr>
                <w:b/>
                <w:sz w:val="24"/>
                <w:szCs w:val="24"/>
              </w:rPr>
              <w:t>Teil 2: Diagnostische Verfahren am Beispiel Lesekompetenz – Systematik und praktische Erprobung verschiedener Verfahren</w:t>
            </w:r>
          </w:p>
        </w:tc>
        <w:tc>
          <w:tcPr>
            <w:tcW w:w="4008" w:type="dxa"/>
            <w:shd w:val="clear" w:color="auto" w:fill="D2C7DF"/>
          </w:tcPr>
          <w:p w14:paraId="0DB14D51" w14:textId="77777777" w:rsidR="00A1275C" w:rsidRPr="00227722" w:rsidRDefault="00A1275C" w:rsidP="00ED4FE0">
            <w:pPr>
              <w:rPr>
                <w:rFonts w:cstheme="minorHAnsi"/>
                <w:b/>
                <w:sz w:val="24"/>
                <w:szCs w:val="24"/>
              </w:rPr>
            </w:pPr>
            <w:r>
              <w:rPr>
                <w:rFonts w:cstheme="minorHAnsi"/>
                <w:b/>
                <w:sz w:val="24"/>
                <w:szCs w:val="24"/>
              </w:rPr>
              <w:t>Material</w:t>
            </w:r>
          </w:p>
        </w:tc>
        <w:tc>
          <w:tcPr>
            <w:tcW w:w="1524" w:type="dxa"/>
            <w:shd w:val="clear" w:color="auto" w:fill="D2C7DF"/>
          </w:tcPr>
          <w:p w14:paraId="65EFC94E" w14:textId="77777777" w:rsidR="00A1275C" w:rsidRPr="00227722" w:rsidRDefault="00A1275C" w:rsidP="00ED4FE0">
            <w:pPr>
              <w:jc w:val="both"/>
              <w:rPr>
                <w:rFonts w:cstheme="minorHAnsi"/>
                <w:b/>
                <w:sz w:val="24"/>
                <w:szCs w:val="24"/>
              </w:rPr>
            </w:pPr>
            <w:r>
              <w:rPr>
                <w:rFonts w:cstheme="minorHAnsi"/>
                <w:b/>
                <w:sz w:val="24"/>
                <w:szCs w:val="24"/>
              </w:rPr>
              <w:t>Details</w:t>
            </w:r>
          </w:p>
        </w:tc>
      </w:tr>
      <w:tr w:rsidR="00A1275C" w:rsidRPr="002E789B" w14:paraId="3D8D2086" w14:textId="77777777" w:rsidTr="00ED4FE0">
        <w:tc>
          <w:tcPr>
            <w:tcW w:w="1044" w:type="dxa"/>
            <w:shd w:val="clear" w:color="auto" w:fill="auto"/>
          </w:tcPr>
          <w:p w14:paraId="23C0EDDE" w14:textId="035D88F7" w:rsidR="00A1275C" w:rsidRDefault="00A1275C" w:rsidP="00ED4FE0">
            <w:pPr>
              <w:jc w:val="both"/>
              <w:rPr>
                <w:sz w:val="24"/>
                <w:szCs w:val="24"/>
              </w:rPr>
            </w:pPr>
            <w:r>
              <w:rPr>
                <w:sz w:val="24"/>
                <w:szCs w:val="24"/>
              </w:rPr>
              <w:t>1</w:t>
            </w:r>
            <w:r w:rsidR="001A5197">
              <w:rPr>
                <w:sz w:val="24"/>
                <w:szCs w:val="24"/>
              </w:rPr>
              <w:t>0</w:t>
            </w:r>
            <w:r>
              <w:rPr>
                <w:sz w:val="24"/>
                <w:szCs w:val="24"/>
              </w:rPr>
              <w:t xml:space="preserve"> Min.</w:t>
            </w:r>
          </w:p>
        </w:tc>
        <w:tc>
          <w:tcPr>
            <w:tcW w:w="7701" w:type="dxa"/>
            <w:shd w:val="clear" w:color="auto" w:fill="auto"/>
          </w:tcPr>
          <w:p w14:paraId="3B723145" w14:textId="77777777" w:rsidR="00A1275C" w:rsidRPr="002E789B" w:rsidRDefault="00A1275C" w:rsidP="00ED4FE0">
            <w:pPr>
              <w:spacing w:line="276" w:lineRule="auto"/>
              <w:rPr>
                <w:b/>
                <w:sz w:val="24"/>
                <w:szCs w:val="24"/>
              </w:rPr>
            </w:pPr>
            <w:r>
              <w:rPr>
                <w:b/>
                <w:sz w:val="24"/>
                <w:szCs w:val="24"/>
              </w:rPr>
              <w:t xml:space="preserve">Trainer-Einführung: </w:t>
            </w:r>
            <w:r w:rsidRPr="002E789B">
              <w:rPr>
                <w:b/>
                <w:sz w:val="24"/>
                <w:szCs w:val="24"/>
              </w:rPr>
              <w:t xml:space="preserve">Diagnostische Verfahren im Bereich der Lesekompetenz </w:t>
            </w:r>
          </w:p>
          <w:p w14:paraId="26D8F2D1" w14:textId="77777777" w:rsidR="00A1275C" w:rsidRPr="00D83AF6" w:rsidRDefault="00A1275C" w:rsidP="00A1275C">
            <w:pPr>
              <w:pStyle w:val="Listenabsatz"/>
              <w:numPr>
                <w:ilvl w:val="0"/>
                <w:numId w:val="4"/>
              </w:numPr>
              <w:spacing w:after="0"/>
              <w:rPr>
                <w:bCs/>
                <w:sz w:val="24"/>
                <w:szCs w:val="24"/>
              </w:rPr>
            </w:pPr>
            <w:r w:rsidRPr="00D83AF6">
              <w:rPr>
                <w:bCs/>
                <w:sz w:val="24"/>
                <w:szCs w:val="24"/>
              </w:rPr>
              <w:t xml:space="preserve">Grundlagen und Systematik / Kompetenzmodellierung Lesekompetenz </w:t>
            </w:r>
          </w:p>
        </w:tc>
        <w:tc>
          <w:tcPr>
            <w:tcW w:w="4008" w:type="dxa"/>
            <w:shd w:val="clear" w:color="auto" w:fill="auto"/>
          </w:tcPr>
          <w:p w14:paraId="6BE81217" w14:textId="77777777" w:rsidR="00A1275C" w:rsidRPr="00474377" w:rsidRDefault="00A1275C" w:rsidP="00ED4FE0">
            <w:pPr>
              <w:spacing w:line="276" w:lineRule="auto"/>
              <w:rPr>
                <w:rFonts w:cstheme="minorHAnsi"/>
                <w:lang w:val="en-US"/>
              </w:rPr>
            </w:pPr>
            <w:proofErr w:type="spellStart"/>
            <w:r w:rsidRPr="00792BF0">
              <w:rPr>
                <w:rFonts w:cstheme="minorHAnsi"/>
              </w:rPr>
              <w:t>BaCuLit</w:t>
            </w:r>
            <w:proofErr w:type="spellEnd"/>
            <w:r w:rsidRPr="00792BF0">
              <w:rPr>
                <w:rFonts w:cstheme="minorHAnsi"/>
              </w:rPr>
              <w:t xml:space="preserve"> M9_1 PPT</w:t>
            </w:r>
            <w:r>
              <w:rPr>
                <w:rFonts w:cstheme="minorHAnsi"/>
              </w:rPr>
              <w:t>2</w:t>
            </w:r>
          </w:p>
          <w:p w14:paraId="410AF836" w14:textId="77777777" w:rsidR="00A1275C" w:rsidRPr="002E789B" w:rsidRDefault="00A1275C" w:rsidP="00ED4FE0">
            <w:pPr>
              <w:rPr>
                <w:lang w:val="en-US"/>
              </w:rPr>
            </w:pPr>
          </w:p>
        </w:tc>
        <w:tc>
          <w:tcPr>
            <w:tcW w:w="1524" w:type="dxa"/>
            <w:shd w:val="clear" w:color="auto" w:fill="auto"/>
          </w:tcPr>
          <w:p w14:paraId="5CE11332" w14:textId="19CD6B73" w:rsidR="00A1275C" w:rsidRPr="00E66158" w:rsidRDefault="00A1275C" w:rsidP="00ED4FE0">
            <w:pPr>
              <w:rPr>
                <w:sz w:val="24"/>
                <w:szCs w:val="24"/>
              </w:rPr>
            </w:pPr>
            <w:r w:rsidRPr="00E66158">
              <w:rPr>
                <w:sz w:val="24"/>
                <w:szCs w:val="24"/>
              </w:rPr>
              <w:t xml:space="preserve">Folien </w:t>
            </w:r>
            <w:r w:rsidR="00A272D0">
              <w:rPr>
                <w:sz w:val="24"/>
                <w:szCs w:val="24"/>
              </w:rPr>
              <w:t>2</w:t>
            </w:r>
            <w:r>
              <w:rPr>
                <w:sz w:val="24"/>
                <w:szCs w:val="24"/>
              </w:rPr>
              <w:t>-</w:t>
            </w:r>
            <w:r w:rsidRPr="00E66158">
              <w:rPr>
                <w:sz w:val="24"/>
                <w:szCs w:val="24"/>
              </w:rPr>
              <w:t>8</w:t>
            </w:r>
          </w:p>
          <w:p w14:paraId="41AA4E5D" w14:textId="77777777" w:rsidR="00A1275C" w:rsidRPr="00DF6BEA" w:rsidRDefault="00A1275C" w:rsidP="00ED4FE0">
            <w:pPr>
              <w:spacing w:after="240"/>
              <w:rPr>
                <w:rFonts w:cstheme="minorHAnsi"/>
              </w:rPr>
            </w:pPr>
          </w:p>
        </w:tc>
      </w:tr>
      <w:tr w:rsidR="00A1275C" w:rsidRPr="008C5788" w14:paraId="7FC6DF01" w14:textId="77777777" w:rsidTr="00ED4FE0">
        <w:tc>
          <w:tcPr>
            <w:tcW w:w="1044" w:type="dxa"/>
            <w:shd w:val="clear" w:color="auto" w:fill="auto"/>
          </w:tcPr>
          <w:p w14:paraId="6A258D3E" w14:textId="77777777" w:rsidR="00A1275C" w:rsidRDefault="00A1275C" w:rsidP="00ED4FE0">
            <w:pPr>
              <w:jc w:val="both"/>
              <w:rPr>
                <w:sz w:val="24"/>
                <w:szCs w:val="24"/>
                <w:lang w:val="en-US"/>
              </w:rPr>
            </w:pPr>
          </w:p>
        </w:tc>
        <w:tc>
          <w:tcPr>
            <w:tcW w:w="7701" w:type="dxa"/>
            <w:shd w:val="clear" w:color="auto" w:fill="auto"/>
          </w:tcPr>
          <w:p w14:paraId="3DA87830" w14:textId="2A4A50A7" w:rsidR="00A1275C" w:rsidRPr="00332382" w:rsidRDefault="00A1275C" w:rsidP="00ED4FE0">
            <w:pPr>
              <w:rPr>
                <w:bCs/>
                <w:i/>
                <w:iCs/>
                <w:color w:val="C00000"/>
              </w:rPr>
            </w:pPr>
            <w:r w:rsidRPr="00332382">
              <w:rPr>
                <w:b/>
                <w:i/>
                <w:iCs/>
                <w:color w:val="000000" w:themeColor="text1"/>
              </w:rPr>
              <w:t xml:space="preserve">Didaktischer Hinweis: </w:t>
            </w:r>
            <w:r w:rsidRPr="00332382">
              <w:rPr>
                <w:bCs/>
                <w:i/>
                <w:iCs/>
                <w:color w:val="000000" w:themeColor="text1"/>
              </w:rPr>
              <w:t>Es wird empfohlen, dass in diesem Teil des Modulblockes zwei oder drei Verfahren zur Lesekompetenz-Diagnostik der Prozessebene von den TN praktisch erprobt werden können: (1) Ein Test und / oder Beobachtungs</w:t>
            </w:r>
            <w:r w:rsidR="00A272D0">
              <w:rPr>
                <w:bCs/>
                <w:i/>
                <w:iCs/>
                <w:color w:val="000000" w:themeColor="text1"/>
              </w:rPr>
              <w:softHyphen/>
            </w:r>
            <w:r w:rsidRPr="00332382">
              <w:rPr>
                <w:bCs/>
                <w:i/>
                <w:iCs/>
                <w:color w:val="000000" w:themeColor="text1"/>
              </w:rPr>
              <w:t>verfahren im Bereich der hierarchieniedrigen Prozesse, hier am Beispiel Leseflüssig</w:t>
            </w:r>
            <w:r w:rsidR="00A272D0">
              <w:rPr>
                <w:bCs/>
                <w:i/>
                <w:iCs/>
                <w:color w:val="000000" w:themeColor="text1"/>
              </w:rPr>
              <w:softHyphen/>
            </w:r>
            <w:r w:rsidRPr="00332382">
              <w:rPr>
                <w:bCs/>
                <w:i/>
                <w:iCs/>
                <w:color w:val="000000" w:themeColor="text1"/>
              </w:rPr>
              <w:t>keit; und (2) eine Testaufgabe zum hierarchiehöheren Textverstehen (aus den PISA-Beispielaufgaben</w:t>
            </w:r>
            <w:r>
              <w:rPr>
                <w:bCs/>
                <w:i/>
                <w:iCs/>
                <w:color w:val="000000" w:themeColor="text1"/>
              </w:rPr>
              <w:t xml:space="preserve"> oder dem Lesetest </w:t>
            </w:r>
            <w:proofErr w:type="gramStart"/>
            <w:r>
              <w:rPr>
                <w:bCs/>
                <w:i/>
                <w:iCs/>
                <w:color w:val="000000" w:themeColor="text1"/>
              </w:rPr>
              <w:t>für  Berufsschüler</w:t>
            </w:r>
            <w:proofErr w:type="gramEnd"/>
            <w:r>
              <w:rPr>
                <w:bCs/>
                <w:i/>
                <w:iCs/>
                <w:color w:val="000000" w:themeColor="text1"/>
              </w:rPr>
              <w:t xml:space="preserve">/innen LTB_3 </w:t>
            </w:r>
            <w:r w:rsidRPr="00332382">
              <w:rPr>
                <w:bCs/>
                <w:i/>
                <w:iCs/>
                <w:color w:val="000000" w:themeColor="text1"/>
              </w:rPr>
              <w:t>). Die hier vorgeschlagenen Beispiele können – je nach Verfügbarkeit – ausgetauscht oder durch andere diagnostische Verfahren ersetzt werden, die im eigenen Bundesland oder der jeweiligen Schule verwendet werden. Die Systematik sollte dabei allerdings erhalten bleiben.</w:t>
            </w:r>
          </w:p>
        </w:tc>
        <w:tc>
          <w:tcPr>
            <w:tcW w:w="4008" w:type="dxa"/>
            <w:shd w:val="clear" w:color="auto" w:fill="auto"/>
          </w:tcPr>
          <w:p w14:paraId="03179C2A" w14:textId="77777777" w:rsidR="00A1275C" w:rsidRDefault="00A1275C" w:rsidP="00ED4FE0">
            <w:pPr>
              <w:spacing w:after="240"/>
            </w:pPr>
          </w:p>
        </w:tc>
        <w:tc>
          <w:tcPr>
            <w:tcW w:w="1524" w:type="dxa"/>
            <w:shd w:val="clear" w:color="auto" w:fill="auto"/>
          </w:tcPr>
          <w:p w14:paraId="3BCE98C0" w14:textId="77777777" w:rsidR="00A1275C" w:rsidRPr="00E66158" w:rsidRDefault="00A1275C" w:rsidP="00ED4FE0">
            <w:pPr>
              <w:rPr>
                <w:rFonts w:cstheme="minorHAnsi"/>
              </w:rPr>
            </w:pPr>
          </w:p>
        </w:tc>
      </w:tr>
      <w:tr w:rsidR="00A1275C" w:rsidRPr="00B846C3" w14:paraId="4CC60A2C" w14:textId="77777777" w:rsidTr="00ED4FE0">
        <w:tc>
          <w:tcPr>
            <w:tcW w:w="1044" w:type="dxa"/>
            <w:shd w:val="clear" w:color="auto" w:fill="auto"/>
          </w:tcPr>
          <w:p w14:paraId="0B6637BB" w14:textId="77777777" w:rsidR="00A1275C" w:rsidRPr="002E789B" w:rsidRDefault="00A1275C" w:rsidP="00ED4FE0">
            <w:pPr>
              <w:jc w:val="both"/>
              <w:rPr>
                <w:sz w:val="24"/>
                <w:szCs w:val="24"/>
                <w:lang w:val="en-US"/>
              </w:rPr>
            </w:pPr>
            <w:r>
              <w:rPr>
                <w:sz w:val="24"/>
                <w:szCs w:val="24"/>
                <w:lang w:val="en-US"/>
              </w:rPr>
              <w:t>10 Min.</w:t>
            </w:r>
          </w:p>
        </w:tc>
        <w:tc>
          <w:tcPr>
            <w:tcW w:w="7701" w:type="dxa"/>
            <w:shd w:val="clear" w:color="auto" w:fill="auto"/>
          </w:tcPr>
          <w:p w14:paraId="6B74B8E7" w14:textId="77777777" w:rsidR="00A1275C" w:rsidRPr="00B846C3" w:rsidRDefault="00A1275C" w:rsidP="00ED4FE0">
            <w:pPr>
              <w:rPr>
                <w:bCs/>
                <w:sz w:val="24"/>
                <w:szCs w:val="24"/>
              </w:rPr>
            </w:pPr>
            <w:r w:rsidRPr="002E789B">
              <w:rPr>
                <w:bCs/>
                <w:sz w:val="24"/>
                <w:szCs w:val="24"/>
              </w:rPr>
              <w:t>Diagnostik der kognitiven Anforderungen im hierarchie-niedrigen Bereich</w:t>
            </w:r>
            <w:r>
              <w:rPr>
                <w:bCs/>
                <w:sz w:val="24"/>
                <w:szCs w:val="24"/>
              </w:rPr>
              <w:t xml:space="preserve"> von Lesekompetenz /</w:t>
            </w:r>
            <w:r w:rsidRPr="002E789B">
              <w:rPr>
                <w:bCs/>
                <w:sz w:val="24"/>
                <w:szCs w:val="24"/>
              </w:rPr>
              <w:t xml:space="preserve"> Leseflüssigkeit</w:t>
            </w:r>
            <w:r>
              <w:rPr>
                <w:bCs/>
                <w:sz w:val="24"/>
                <w:szCs w:val="24"/>
              </w:rPr>
              <w:t xml:space="preserve">: </w:t>
            </w:r>
            <w:r>
              <w:rPr>
                <w:b/>
                <w:sz w:val="24"/>
                <w:szCs w:val="24"/>
              </w:rPr>
              <w:t>Durchführung und Auswertung des Salzburger Lesescreenings oder des Stolperwörter-Tests.</w:t>
            </w:r>
          </w:p>
        </w:tc>
        <w:tc>
          <w:tcPr>
            <w:tcW w:w="4008" w:type="dxa"/>
            <w:shd w:val="clear" w:color="auto" w:fill="auto"/>
          </w:tcPr>
          <w:p w14:paraId="36BA39B6" w14:textId="2144C2C0" w:rsidR="00C94A67" w:rsidRDefault="00A1275C" w:rsidP="00C94A67">
            <w:pPr>
              <w:spacing w:after="120"/>
              <w:rPr>
                <w:sz w:val="24"/>
                <w:szCs w:val="24"/>
              </w:rPr>
            </w:pPr>
            <w:r w:rsidRPr="00CB6FB3">
              <w:rPr>
                <w:sz w:val="24"/>
                <w:szCs w:val="24"/>
              </w:rPr>
              <w:t xml:space="preserve">Salzburger Lesescreening und Auswertungsschablone / Manual (sofern verfügbar) </w:t>
            </w:r>
          </w:p>
          <w:p w14:paraId="41A84F0D" w14:textId="77777777" w:rsidR="00C94A67" w:rsidRDefault="00C94A67" w:rsidP="00C94A67">
            <w:pPr>
              <w:spacing w:after="120"/>
              <w:rPr>
                <w:sz w:val="24"/>
                <w:szCs w:val="24"/>
              </w:rPr>
            </w:pPr>
            <w:r>
              <w:rPr>
                <w:sz w:val="24"/>
                <w:szCs w:val="24"/>
              </w:rPr>
              <w:t>A</w:t>
            </w:r>
            <w:r w:rsidR="00A1275C" w:rsidRPr="00CB6FB3">
              <w:rPr>
                <w:sz w:val="24"/>
                <w:szCs w:val="24"/>
              </w:rPr>
              <w:t>lternativ: Stolperwörtertest;</w:t>
            </w:r>
          </w:p>
          <w:p w14:paraId="77E66A0E" w14:textId="3D56563E" w:rsidR="00A1275C" w:rsidRPr="00C94A67" w:rsidRDefault="00C94A67" w:rsidP="00C94A67">
            <w:pPr>
              <w:spacing w:after="120"/>
              <w:rPr>
                <w:rFonts w:cstheme="minorHAnsi"/>
              </w:rPr>
            </w:pPr>
            <w:proofErr w:type="spellStart"/>
            <w:r w:rsidRPr="00792BF0">
              <w:rPr>
                <w:rFonts w:cstheme="minorHAnsi"/>
              </w:rPr>
              <w:t>BaCuLit</w:t>
            </w:r>
            <w:proofErr w:type="spellEnd"/>
            <w:r w:rsidRPr="00792BF0">
              <w:rPr>
                <w:rFonts w:cstheme="minorHAnsi"/>
              </w:rPr>
              <w:t xml:space="preserve"> M9_1 AB</w:t>
            </w:r>
            <w:r w:rsidR="00A1275C" w:rsidRPr="00CB6FB3">
              <w:rPr>
                <w:sz w:val="24"/>
                <w:szCs w:val="24"/>
              </w:rPr>
              <w:t>3</w:t>
            </w:r>
            <w:r w:rsidR="00A1275C">
              <w:rPr>
                <w:sz w:val="24"/>
                <w:szCs w:val="24"/>
              </w:rPr>
              <w:t xml:space="preserve"> und AB4</w:t>
            </w:r>
          </w:p>
        </w:tc>
        <w:tc>
          <w:tcPr>
            <w:tcW w:w="1524" w:type="dxa"/>
            <w:shd w:val="clear" w:color="auto" w:fill="auto"/>
          </w:tcPr>
          <w:p w14:paraId="5D7F89E7" w14:textId="77777777" w:rsidR="00A1275C" w:rsidRPr="00D90E16" w:rsidRDefault="00A1275C" w:rsidP="00ED4FE0">
            <w:pPr>
              <w:rPr>
                <w:rFonts w:cstheme="minorHAnsi"/>
                <w:sz w:val="24"/>
                <w:szCs w:val="24"/>
              </w:rPr>
            </w:pPr>
          </w:p>
          <w:p w14:paraId="00DA55A3" w14:textId="77777777" w:rsidR="00A1275C" w:rsidRPr="00D90E16" w:rsidRDefault="00A1275C" w:rsidP="00ED4FE0">
            <w:pPr>
              <w:rPr>
                <w:rFonts w:cstheme="minorHAnsi"/>
                <w:sz w:val="24"/>
                <w:szCs w:val="24"/>
              </w:rPr>
            </w:pPr>
          </w:p>
          <w:p w14:paraId="53140536" w14:textId="77777777" w:rsidR="00A1275C" w:rsidRPr="00D90E16" w:rsidRDefault="00A1275C" w:rsidP="00ED4FE0">
            <w:pPr>
              <w:rPr>
                <w:rFonts w:cstheme="minorHAnsi"/>
                <w:sz w:val="24"/>
                <w:szCs w:val="24"/>
              </w:rPr>
            </w:pPr>
          </w:p>
          <w:p w14:paraId="4218CEE5" w14:textId="77777777" w:rsidR="00A1275C" w:rsidRPr="00D90E16" w:rsidRDefault="00A1275C" w:rsidP="00ED4FE0">
            <w:pPr>
              <w:rPr>
                <w:rFonts w:cstheme="minorHAnsi"/>
                <w:sz w:val="24"/>
                <w:szCs w:val="24"/>
              </w:rPr>
            </w:pPr>
          </w:p>
        </w:tc>
      </w:tr>
      <w:tr w:rsidR="00A1275C" w:rsidRPr="00B846C3" w14:paraId="1D0B34DF" w14:textId="77777777" w:rsidTr="00ED4FE0">
        <w:tc>
          <w:tcPr>
            <w:tcW w:w="1044" w:type="dxa"/>
            <w:shd w:val="clear" w:color="auto" w:fill="auto"/>
          </w:tcPr>
          <w:p w14:paraId="648111CC" w14:textId="77777777" w:rsidR="00A1275C" w:rsidRDefault="00A1275C" w:rsidP="00ED4FE0">
            <w:pPr>
              <w:jc w:val="both"/>
              <w:rPr>
                <w:sz w:val="24"/>
                <w:szCs w:val="24"/>
                <w:lang w:val="en-US"/>
              </w:rPr>
            </w:pPr>
            <w:r>
              <w:rPr>
                <w:sz w:val="24"/>
                <w:szCs w:val="24"/>
                <w:lang w:val="en-US"/>
              </w:rPr>
              <w:t>10 Min.</w:t>
            </w:r>
          </w:p>
        </w:tc>
        <w:tc>
          <w:tcPr>
            <w:tcW w:w="7701" w:type="dxa"/>
            <w:shd w:val="clear" w:color="auto" w:fill="auto"/>
          </w:tcPr>
          <w:p w14:paraId="4694BAD1" w14:textId="669B536A" w:rsidR="00A1275C" w:rsidRPr="002E789B" w:rsidRDefault="00A1275C" w:rsidP="00ED4FE0">
            <w:pPr>
              <w:rPr>
                <w:bCs/>
                <w:sz w:val="24"/>
                <w:szCs w:val="24"/>
              </w:rPr>
            </w:pPr>
            <w:r w:rsidRPr="002E789B">
              <w:rPr>
                <w:bCs/>
                <w:sz w:val="24"/>
                <w:szCs w:val="24"/>
              </w:rPr>
              <w:t>Diagnostik der kognitiven Anforderungen im hierarchie-niedrigen Bereich</w:t>
            </w:r>
            <w:r>
              <w:rPr>
                <w:bCs/>
                <w:sz w:val="24"/>
                <w:szCs w:val="24"/>
              </w:rPr>
              <w:t xml:space="preserve"> von Lesekompetenz /</w:t>
            </w:r>
            <w:r w:rsidRPr="002E789B">
              <w:rPr>
                <w:bCs/>
                <w:sz w:val="24"/>
                <w:szCs w:val="24"/>
              </w:rPr>
              <w:t xml:space="preserve"> Leseflüssigkeit</w:t>
            </w:r>
            <w:r>
              <w:rPr>
                <w:bCs/>
                <w:sz w:val="24"/>
                <w:szCs w:val="24"/>
              </w:rPr>
              <w:t xml:space="preserve">, Teil 2: Erprobung der Methode des </w:t>
            </w:r>
            <w:r w:rsidRPr="00022666">
              <w:rPr>
                <w:b/>
                <w:sz w:val="24"/>
                <w:szCs w:val="24"/>
              </w:rPr>
              <w:t>Lautleseprotokolls</w:t>
            </w:r>
            <w:r>
              <w:rPr>
                <w:bCs/>
                <w:sz w:val="24"/>
                <w:szCs w:val="24"/>
              </w:rPr>
              <w:t xml:space="preserve"> in Partnerarbeit mit einem Text in Spiegelschrift</w:t>
            </w:r>
            <w:r w:rsidR="00F332C0">
              <w:rPr>
                <w:bCs/>
                <w:sz w:val="24"/>
                <w:szCs w:val="24"/>
              </w:rPr>
              <w:t>.</w:t>
            </w:r>
          </w:p>
        </w:tc>
        <w:tc>
          <w:tcPr>
            <w:tcW w:w="4008" w:type="dxa"/>
            <w:shd w:val="clear" w:color="auto" w:fill="auto"/>
          </w:tcPr>
          <w:p w14:paraId="52CFB97E" w14:textId="6FDBECA3" w:rsidR="00A1275C" w:rsidRPr="001847F5" w:rsidRDefault="001847F5" w:rsidP="00ED4FE0">
            <w:pPr>
              <w:spacing w:after="240"/>
              <w:rPr>
                <w:color w:val="C00000"/>
                <w:sz w:val="24"/>
                <w:szCs w:val="24"/>
              </w:rPr>
            </w:pPr>
            <w:proofErr w:type="spellStart"/>
            <w:r w:rsidRPr="00F332C0">
              <w:rPr>
                <w:rFonts w:cstheme="minorHAnsi"/>
              </w:rPr>
              <w:t>BaCuLit</w:t>
            </w:r>
            <w:proofErr w:type="spellEnd"/>
            <w:r w:rsidRPr="00F332C0">
              <w:rPr>
                <w:rFonts w:cstheme="minorHAnsi"/>
              </w:rPr>
              <w:t xml:space="preserve"> M9_1 AB5 </w:t>
            </w:r>
          </w:p>
          <w:p w14:paraId="060C0140" w14:textId="77777777" w:rsidR="00A1275C" w:rsidRPr="00A224B0" w:rsidRDefault="00A1275C" w:rsidP="00ED4FE0">
            <w:pPr>
              <w:spacing w:after="240"/>
              <w:rPr>
                <w:b/>
                <w:bCs/>
                <w:color w:val="C00000"/>
                <w:sz w:val="24"/>
                <w:szCs w:val="24"/>
              </w:rPr>
            </w:pPr>
          </w:p>
        </w:tc>
        <w:tc>
          <w:tcPr>
            <w:tcW w:w="1524" w:type="dxa"/>
            <w:shd w:val="clear" w:color="auto" w:fill="auto"/>
          </w:tcPr>
          <w:p w14:paraId="1598AC00" w14:textId="77777777" w:rsidR="00A1275C" w:rsidRPr="00022666" w:rsidRDefault="00A1275C" w:rsidP="00ED4FE0">
            <w:pPr>
              <w:rPr>
                <w:rFonts w:cstheme="minorHAnsi"/>
                <w:sz w:val="24"/>
                <w:szCs w:val="24"/>
              </w:rPr>
            </w:pPr>
          </w:p>
        </w:tc>
      </w:tr>
      <w:tr w:rsidR="00A1275C" w:rsidRPr="00A224B0" w14:paraId="18B8B627" w14:textId="77777777" w:rsidTr="00ED4FE0">
        <w:tc>
          <w:tcPr>
            <w:tcW w:w="1044" w:type="dxa"/>
            <w:shd w:val="clear" w:color="auto" w:fill="auto"/>
          </w:tcPr>
          <w:p w14:paraId="51F823AE" w14:textId="217510AA" w:rsidR="00A1275C" w:rsidRDefault="00A1275C" w:rsidP="00ED4FE0">
            <w:pPr>
              <w:jc w:val="both"/>
              <w:rPr>
                <w:sz w:val="24"/>
                <w:szCs w:val="24"/>
                <w:lang w:val="en-US"/>
              </w:rPr>
            </w:pPr>
            <w:r>
              <w:rPr>
                <w:sz w:val="24"/>
                <w:szCs w:val="24"/>
                <w:lang w:val="en-US"/>
              </w:rPr>
              <w:lastRenderedPageBreak/>
              <w:t>1</w:t>
            </w:r>
            <w:r w:rsidR="00D01775">
              <w:rPr>
                <w:sz w:val="24"/>
                <w:szCs w:val="24"/>
                <w:lang w:val="en-US"/>
              </w:rPr>
              <w:t>0</w:t>
            </w:r>
            <w:r>
              <w:rPr>
                <w:sz w:val="24"/>
                <w:szCs w:val="24"/>
                <w:lang w:val="en-US"/>
              </w:rPr>
              <w:t xml:space="preserve"> Min.</w:t>
            </w:r>
          </w:p>
        </w:tc>
        <w:tc>
          <w:tcPr>
            <w:tcW w:w="7701" w:type="dxa"/>
            <w:shd w:val="clear" w:color="auto" w:fill="auto"/>
          </w:tcPr>
          <w:p w14:paraId="377DADCB" w14:textId="77777777" w:rsidR="00A1275C" w:rsidRPr="002E789B" w:rsidRDefault="00A1275C" w:rsidP="00ED4FE0">
            <w:pPr>
              <w:rPr>
                <w:bCs/>
                <w:sz w:val="24"/>
                <w:szCs w:val="24"/>
              </w:rPr>
            </w:pPr>
            <w:r w:rsidRPr="00D01775">
              <w:rPr>
                <w:b/>
                <w:sz w:val="24"/>
                <w:szCs w:val="24"/>
              </w:rPr>
              <w:t>Trainer-Input</w:t>
            </w:r>
            <w:r>
              <w:rPr>
                <w:bCs/>
                <w:sz w:val="24"/>
                <w:szCs w:val="24"/>
              </w:rPr>
              <w:t xml:space="preserve"> und Reflexion beider Verfahren in der Gesamtgruppe: Unterschiede? Vor- und Nachteile beider Verfahren; Rekapitulation des Konstrukts ‚Leseflüssigkeit‘ und seiner Bedeutung für Textverstehen.</w:t>
            </w:r>
          </w:p>
        </w:tc>
        <w:tc>
          <w:tcPr>
            <w:tcW w:w="4008" w:type="dxa"/>
            <w:shd w:val="clear" w:color="auto" w:fill="auto"/>
          </w:tcPr>
          <w:p w14:paraId="6B810794" w14:textId="77777777" w:rsidR="00A1275C" w:rsidRPr="00474377" w:rsidRDefault="00A1275C" w:rsidP="00ED4FE0">
            <w:pPr>
              <w:spacing w:line="276" w:lineRule="auto"/>
              <w:rPr>
                <w:rFonts w:cstheme="minorHAnsi"/>
                <w:lang w:val="en-US"/>
              </w:rPr>
            </w:pPr>
            <w:proofErr w:type="spellStart"/>
            <w:r w:rsidRPr="00792BF0">
              <w:rPr>
                <w:rFonts w:cstheme="minorHAnsi"/>
              </w:rPr>
              <w:t>BaCuLit</w:t>
            </w:r>
            <w:proofErr w:type="spellEnd"/>
            <w:r w:rsidRPr="00792BF0">
              <w:rPr>
                <w:rFonts w:cstheme="minorHAnsi"/>
              </w:rPr>
              <w:t xml:space="preserve"> M9_1 PPT</w:t>
            </w:r>
            <w:r>
              <w:rPr>
                <w:rFonts w:cstheme="minorHAnsi"/>
              </w:rPr>
              <w:t>2</w:t>
            </w:r>
          </w:p>
          <w:p w14:paraId="500CB9DE" w14:textId="77777777" w:rsidR="00A1275C" w:rsidRPr="00A224B0" w:rsidRDefault="00A1275C" w:rsidP="00ED4FE0">
            <w:pPr>
              <w:spacing w:after="240"/>
              <w:rPr>
                <w:b/>
                <w:bCs/>
                <w:color w:val="C00000"/>
                <w:sz w:val="24"/>
                <w:szCs w:val="24"/>
                <w:lang w:val="en-US"/>
              </w:rPr>
            </w:pPr>
          </w:p>
        </w:tc>
        <w:tc>
          <w:tcPr>
            <w:tcW w:w="1524" w:type="dxa"/>
            <w:shd w:val="clear" w:color="auto" w:fill="auto"/>
          </w:tcPr>
          <w:p w14:paraId="1343524B" w14:textId="5F64A9D6" w:rsidR="00A1275C" w:rsidRPr="00A224B0" w:rsidRDefault="00A1275C" w:rsidP="00ED4FE0">
            <w:pPr>
              <w:rPr>
                <w:rFonts w:cstheme="minorHAnsi"/>
                <w:sz w:val="24"/>
                <w:szCs w:val="24"/>
                <w:lang w:val="en-US"/>
              </w:rPr>
            </w:pPr>
            <w:proofErr w:type="spellStart"/>
            <w:r>
              <w:rPr>
                <w:rFonts w:cstheme="minorHAnsi"/>
                <w:sz w:val="24"/>
                <w:szCs w:val="24"/>
                <w:lang w:val="en-US"/>
              </w:rPr>
              <w:t>Folien</w:t>
            </w:r>
            <w:proofErr w:type="spellEnd"/>
            <w:r>
              <w:rPr>
                <w:rFonts w:cstheme="minorHAnsi"/>
                <w:sz w:val="24"/>
                <w:szCs w:val="24"/>
                <w:lang w:val="en-US"/>
              </w:rPr>
              <w:t xml:space="preserve"> </w:t>
            </w:r>
            <w:r w:rsidR="00A272D0">
              <w:rPr>
                <w:rFonts w:cstheme="minorHAnsi"/>
                <w:sz w:val="24"/>
                <w:szCs w:val="24"/>
                <w:lang w:val="en-US"/>
              </w:rPr>
              <w:t>9</w:t>
            </w:r>
            <w:r>
              <w:rPr>
                <w:rFonts w:cstheme="minorHAnsi"/>
                <w:sz w:val="24"/>
                <w:szCs w:val="24"/>
                <w:lang w:val="en-US"/>
              </w:rPr>
              <w:t>-14</w:t>
            </w:r>
          </w:p>
        </w:tc>
      </w:tr>
      <w:tr w:rsidR="00A1275C" w:rsidRPr="008C5788" w14:paraId="7DA77445" w14:textId="77777777" w:rsidTr="00ED4FE0">
        <w:tc>
          <w:tcPr>
            <w:tcW w:w="1044" w:type="dxa"/>
            <w:shd w:val="clear" w:color="auto" w:fill="auto"/>
          </w:tcPr>
          <w:p w14:paraId="0130C4C6" w14:textId="0D3D0FCE" w:rsidR="00A1275C" w:rsidRDefault="001A5197" w:rsidP="00ED4FE0">
            <w:pPr>
              <w:jc w:val="both"/>
              <w:rPr>
                <w:sz w:val="24"/>
                <w:szCs w:val="24"/>
                <w:lang w:val="en-US"/>
              </w:rPr>
            </w:pPr>
            <w:r>
              <w:rPr>
                <w:sz w:val="24"/>
                <w:szCs w:val="24"/>
                <w:lang w:val="en-US"/>
              </w:rPr>
              <w:t>20</w:t>
            </w:r>
            <w:r w:rsidR="00A1275C">
              <w:rPr>
                <w:sz w:val="24"/>
                <w:szCs w:val="24"/>
                <w:lang w:val="en-US"/>
              </w:rPr>
              <w:t xml:space="preserve"> Min.</w:t>
            </w:r>
          </w:p>
        </w:tc>
        <w:tc>
          <w:tcPr>
            <w:tcW w:w="7701" w:type="dxa"/>
            <w:shd w:val="clear" w:color="auto" w:fill="auto"/>
          </w:tcPr>
          <w:p w14:paraId="46F981CC" w14:textId="0678A48A" w:rsidR="00A1275C" w:rsidRPr="005121EB" w:rsidRDefault="00A1275C" w:rsidP="00ED4FE0">
            <w:pPr>
              <w:rPr>
                <w:bCs/>
                <w:sz w:val="24"/>
                <w:szCs w:val="24"/>
              </w:rPr>
            </w:pPr>
            <w:r w:rsidRPr="005D2AA0">
              <w:rPr>
                <w:bCs/>
                <w:sz w:val="24"/>
                <w:szCs w:val="24"/>
              </w:rPr>
              <w:t>Diagnostik der kognitiven Anforderungen im hierarchiehöheren Bereich</w:t>
            </w:r>
            <w:r>
              <w:rPr>
                <w:bCs/>
                <w:sz w:val="24"/>
                <w:szCs w:val="24"/>
              </w:rPr>
              <w:t xml:space="preserve"> von Lesekompetenz /</w:t>
            </w:r>
            <w:r w:rsidRPr="005D2AA0">
              <w:rPr>
                <w:bCs/>
                <w:sz w:val="24"/>
                <w:szCs w:val="24"/>
              </w:rPr>
              <w:t xml:space="preserve"> Textverstehen</w:t>
            </w:r>
            <w:r>
              <w:rPr>
                <w:bCs/>
                <w:sz w:val="24"/>
                <w:szCs w:val="24"/>
              </w:rPr>
              <w:t xml:space="preserve">: </w:t>
            </w:r>
            <w:r>
              <w:rPr>
                <w:b/>
                <w:sz w:val="24"/>
                <w:szCs w:val="24"/>
              </w:rPr>
              <w:t xml:space="preserve">Durchführung und Auswertung einer PISA-Beispielaufgabe aus PISA 2009 oder PISA 2018 </w:t>
            </w:r>
            <w:r w:rsidRPr="005121EB">
              <w:rPr>
                <w:bCs/>
                <w:sz w:val="24"/>
                <w:szCs w:val="24"/>
              </w:rPr>
              <w:t>(vgl. Link</w:t>
            </w:r>
            <w:r>
              <w:rPr>
                <w:bCs/>
                <w:sz w:val="24"/>
                <w:szCs w:val="24"/>
              </w:rPr>
              <w:t>s</w:t>
            </w:r>
            <w:r w:rsidRPr="005121EB">
              <w:rPr>
                <w:bCs/>
                <w:sz w:val="24"/>
                <w:szCs w:val="24"/>
              </w:rPr>
              <w:t xml:space="preserve"> auf </w:t>
            </w:r>
            <w:r>
              <w:rPr>
                <w:bCs/>
                <w:sz w:val="24"/>
                <w:szCs w:val="24"/>
              </w:rPr>
              <w:t xml:space="preserve">PPT2, </w:t>
            </w:r>
            <w:r w:rsidRPr="00AD4926">
              <w:rPr>
                <w:bCs/>
                <w:sz w:val="24"/>
                <w:szCs w:val="24"/>
              </w:rPr>
              <w:t>Folie 21)</w:t>
            </w:r>
            <w:r>
              <w:rPr>
                <w:bCs/>
                <w:sz w:val="24"/>
                <w:szCs w:val="24"/>
              </w:rPr>
              <w:t xml:space="preserve"> oder aus dem LBT</w:t>
            </w:r>
            <w:r w:rsidR="00FB4132">
              <w:rPr>
                <w:bCs/>
                <w:sz w:val="24"/>
                <w:szCs w:val="24"/>
              </w:rPr>
              <w:t>-</w:t>
            </w:r>
            <w:r>
              <w:rPr>
                <w:bCs/>
                <w:sz w:val="24"/>
                <w:szCs w:val="24"/>
              </w:rPr>
              <w:t>3</w:t>
            </w:r>
            <w:r>
              <w:rPr>
                <w:b/>
                <w:sz w:val="24"/>
                <w:szCs w:val="24"/>
              </w:rPr>
              <w:t xml:space="preserve"> </w:t>
            </w:r>
            <w:r w:rsidRPr="00B31536">
              <w:rPr>
                <w:bCs/>
                <w:sz w:val="24"/>
                <w:szCs w:val="24"/>
              </w:rPr>
              <w:t>(vgl. AB6)</w:t>
            </w:r>
          </w:p>
        </w:tc>
        <w:tc>
          <w:tcPr>
            <w:tcW w:w="4008" w:type="dxa"/>
            <w:shd w:val="clear" w:color="auto" w:fill="auto"/>
          </w:tcPr>
          <w:p w14:paraId="1991E8B1" w14:textId="0858F56C" w:rsidR="00A1275C" w:rsidRPr="001847F5" w:rsidRDefault="00A1275C" w:rsidP="001847F5">
            <w:pPr>
              <w:spacing w:after="240"/>
              <w:rPr>
                <w:sz w:val="24"/>
                <w:szCs w:val="24"/>
              </w:rPr>
            </w:pPr>
            <w:r w:rsidRPr="00CB6FB3">
              <w:rPr>
                <w:sz w:val="24"/>
                <w:szCs w:val="24"/>
              </w:rPr>
              <w:t xml:space="preserve">PISA-Beispielaufgabe aus PISA 2009 </w:t>
            </w:r>
            <w:r>
              <w:rPr>
                <w:sz w:val="24"/>
                <w:szCs w:val="24"/>
              </w:rPr>
              <w:t xml:space="preserve">oder PISA 2018 </w:t>
            </w:r>
            <w:r w:rsidRPr="00CB6FB3">
              <w:rPr>
                <w:sz w:val="24"/>
                <w:szCs w:val="24"/>
              </w:rPr>
              <w:t xml:space="preserve">(eine der Aufgaben sollte ausgewählt und für die TN vervielfältigt werden); </w:t>
            </w:r>
            <w:r>
              <w:rPr>
                <w:sz w:val="24"/>
                <w:szCs w:val="24"/>
              </w:rPr>
              <w:t>alternativ kann auch eine Aufgabe aus dem LBT</w:t>
            </w:r>
            <w:r w:rsidR="00FB4132">
              <w:rPr>
                <w:sz w:val="24"/>
                <w:szCs w:val="24"/>
              </w:rPr>
              <w:t>-</w:t>
            </w:r>
            <w:r>
              <w:rPr>
                <w:sz w:val="24"/>
                <w:szCs w:val="24"/>
              </w:rPr>
              <w:t>3 (Lesetest für Berufsschüler</w:t>
            </w:r>
            <w:r w:rsidR="00A272D0">
              <w:rPr>
                <w:sz w:val="24"/>
                <w:szCs w:val="24"/>
              </w:rPr>
              <w:t>/innen</w:t>
            </w:r>
            <w:r>
              <w:rPr>
                <w:sz w:val="24"/>
                <w:szCs w:val="24"/>
              </w:rPr>
              <w:t xml:space="preserve">) ausgewählt werden, sofern dieser verfügbar ist. </w:t>
            </w:r>
            <w:r w:rsidR="001847F5">
              <w:rPr>
                <w:sz w:val="24"/>
                <w:szCs w:val="24"/>
              </w:rPr>
              <w:t>(</w:t>
            </w:r>
            <w:proofErr w:type="spellStart"/>
            <w:r w:rsidR="00C94A67" w:rsidRPr="00792BF0">
              <w:rPr>
                <w:rFonts w:cstheme="minorHAnsi"/>
              </w:rPr>
              <w:t>BaCuLit</w:t>
            </w:r>
            <w:proofErr w:type="spellEnd"/>
            <w:r w:rsidR="00C94A67" w:rsidRPr="00792BF0">
              <w:rPr>
                <w:rFonts w:cstheme="minorHAnsi"/>
              </w:rPr>
              <w:t xml:space="preserve"> M9_1 AB</w:t>
            </w:r>
            <w:r w:rsidR="00C94A67">
              <w:rPr>
                <w:rFonts w:cstheme="minorHAnsi"/>
              </w:rPr>
              <w:t>6</w:t>
            </w:r>
            <w:r w:rsidR="001847F5">
              <w:rPr>
                <w:rFonts w:cstheme="minorHAnsi"/>
              </w:rPr>
              <w:t>)</w:t>
            </w:r>
          </w:p>
        </w:tc>
        <w:tc>
          <w:tcPr>
            <w:tcW w:w="1524" w:type="dxa"/>
            <w:shd w:val="clear" w:color="auto" w:fill="auto"/>
          </w:tcPr>
          <w:p w14:paraId="0D988946" w14:textId="77777777" w:rsidR="00A1275C" w:rsidRPr="00157259" w:rsidRDefault="00A1275C" w:rsidP="00ED4FE0">
            <w:pPr>
              <w:rPr>
                <w:rFonts w:cstheme="minorHAnsi"/>
                <w:sz w:val="24"/>
                <w:szCs w:val="24"/>
              </w:rPr>
            </w:pPr>
          </w:p>
          <w:p w14:paraId="2FD6F409" w14:textId="77777777" w:rsidR="00A1275C" w:rsidRPr="00157259" w:rsidRDefault="00A1275C" w:rsidP="00ED4FE0">
            <w:pPr>
              <w:rPr>
                <w:rFonts w:cstheme="minorHAnsi"/>
                <w:sz w:val="24"/>
                <w:szCs w:val="24"/>
              </w:rPr>
            </w:pPr>
          </w:p>
          <w:p w14:paraId="645CBA2F" w14:textId="77777777" w:rsidR="00A1275C" w:rsidRPr="00157259" w:rsidRDefault="00A1275C" w:rsidP="00ED4FE0">
            <w:pPr>
              <w:rPr>
                <w:rFonts w:cstheme="minorHAnsi"/>
                <w:sz w:val="24"/>
                <w:szCs w:val="24"/>
              </w:rPr>
            </w:pPr>
          </w:p>
          <w:p w14:paraId="545F90C3" w14:textId="77777777" w:rsidR="00A1275C" w:rsidRPr="00157259" w:rsidRDefault="00A1275C" w:rsidP="00ED4FE0">
            <w:pPr>
              <w:rPr>
                <w:rFonts w:cstheme="minorHAnsi"/>
                <w:sz w:val="24"/>
                <w:szCs w:val="24"/>
              </w:rPr>
            </w:pPr>
          </w:p>
          <w:p w14:paraId="7141740F" w14:textId="77777777" w:rsidR="00A1275C" w:rsidRPr="00157259" w:rsidRDefault="00A1275C" w:rsidP="00ED4FE0">
            <w:pPr>
              <w:rPr>
                <w:rFonts w:cstheme="minorHAnsi"/>
                <w:sz w:val="24"/>
                <w:szCs w:val="24"/>
              </w:rPr>
            </w:pPr>
          </w:p>
          <w:p w14:paraId="770E60E0" w14:textId="77777777" w:rsidR="00A1275C" w:rsidRPr="00CB6FB3" w:rsidRDefault="00A1275C" w:rsidP="00ED4FE0">
            <w:pPr>
              <w:rPr>
                <w:rFonts w:cstheme="minorHAnsi"/>
                <w:sz w:val="24"/>
                <w:szCs w:val="24"/>
              </w:rPr>
            </w:pPr>
          </w:p>
        </w:tc>
      </w:tr>
      <w:tr w:rsidR="00A1275C" w:rsidRPr="00DD4148" w14:paraId="24687ED7" w14:textId="77777777" w:rsidTr="00ED4FE0">
        <w:tc>
          <w:tcPr>
            <w:tcW w:w="1044" w:type="dxa"/>
            <w:shd w:val="clear" w:color="auto" w:fill="auto"/>
          </w:tcPr>
          <w:p w14:paraId="1C2487DC" w14:textId="1BDEBCC3" w:rsidR="00A1275C" w:rsidRDefault="00A1275C" w:rsidP="00ED4FE0">
            <w:pPr>
              <w:jc w:val="both"/>
              <w:rPr>
                <w:sz w:val="24"/>
                <w:szCs w:val="24"/>
                <w:lang w:val="en-US"/>
              </w:rPr>
            </w:pPr>
            <w:r>
              <w:rPr>
                <w:sz w:val="24"/>
                <w:szCs w:val="24"/>
                <w:lang w:val="en-US"/>
              </w:rPr>
              <w:t>1</w:t>
            </w:r>
            <w:r w:rsidR="001A5197">
              <w:rPr>
                <w:sz w:val="24"/>
                <w:szCs w:val="24"/>
                <w:lang w:val="en-US"/>
              </w:rPr>
              <w:t>5</w:t>
            </w:r>
            <w:r>
              <w:rPr>
                <w:sz w:val="24"/>
                <w:szCs w:val="24"/>
                <w:lang w:val="en-US"/>
              </w:rPr>
              <w:t xml:space="preserve"> Min.</w:t>
            </w:r>
          </w:p>
        </w:tc>
        <w:tc>
          <w:tcPr>
            <w:tcW w:w="7701" w:type="dxa"/>
            <w:shd w:val="clear" w:color="auto" w:fill="auto"/>
          </w:tcPr>
          <w:p w14:paraId="407CC216" w14:textId="59574CE6" w:rsidR="00A1275C" w:rsidRPr="005D2AA0" w:rsidRDefault="00A1275C" w:rsidP="00ED4FE0">
            <w:pPr>
              <w:rPr>
                <w:bCs/>
                <w:sz w:val="24"/>
                <w:szCs w:val="24"/>
              </w:rPr>
            </w:pPr>
            <w:r w:rsidRPr="00D01775">
              <w:rPr>
                <w:b/>
                <w:sz w:val="24"/>
                <w:szCs w:val="24"/>
              </w:rPr>
              <w:t>Trainer-Input</w:t>
            </w:r>
            <w:r>
              <w:rPr>
                <w:bCs/>
                <w:sz w:val="24"/>
                <w:szCs w:val="24"/>
              </w:rPr>
              <w:t xml:space="preserve">: </w:t>
            </w:r>
            <w:r w:rsidRPr="005121EB">
              <w:rPr>
                <w:bCs/>
                <w:sz w:val="24"/>
                <w:szCs w:val="24"/>
              </w:rPr>
              <w:t xml:space="preserve">Reflexion und Vergleich </w:t>
            </w:r>
            <w:r>
              <w:rPr>
                <w:bCs/>
                <w:sz w:val="24"/>
                <w:szCs w:val="24"/>
              </w:rPr>
              <w:t xml:space="preserve">der PISA-Aufgaben </w:t>
            </w:r>
            <w:r w:rsidRPr="005121EB">
              <w:rPr>
                <w:bCs/>
                <w:sz w:val="24"/>
                <w:szCs w:val="24"/>
              </w:rPr>
              <w:t xml:space="preserve">mit </w:t>
            </w:r>
            <w:r>
              <w:rPr>
                <w:bCs/>
                <w:sz w:val="24"/>
                <w:szCs w:val="24"/>
              </w:rPr>
              <w:t>den Aufgaben aus LBT</w:t>
            </w:r>
            <w:r w:rsidR="00FB4132">
              <w:rPr>
                <w:bCs/>
                <w:sz w:val="24"/>
                <w:szCs w:val="24"/>
              </w:rPr>
              <w:t>-</w:t>
            </w:r>
            <w:r>
              <w:rPr>
                <w:bCs/>
                <w:sz w:val="24"/>
                <w:szCs w:val="24"/>
              </w:rPr>
              <w:t xml:space="preserve">3 und dem </w:t>
            </w:r>
            <w:r w:rsidRPr="005121EB">
              <w:rPr>
                <w:bCs/>
                <w:sz w:val="24"/>
                <w:szCs w:val="24"/>
              </w:rPr>
              <w:t>Münchener Lese-Beobachtungsbogen</w:t>
            </w:r>
            <w:r>
              <w:rPr>
                <w:bCs/>
                <w:sz w:val="24"/>
                <w:szCs w:val="24"/>
              </w:rPr>
              <w:t xml:space="preserve">; </w:t>
            </w:r>
            <w:r w:rsidR="001A5197">
              <w:rPr>
                <w:bCs/>
                <w:sz w:val="24"/>
                <w:szCs w:val="24"/>
              </w:rPr>
              <w:t xml:space="preserve">kurze </w:t>
            </w:r>
            <w:r>
              <w:rPr>
                <w:bCs/>
                <w:sz w:val="24"/>
                <w:szCs w:val="24"/>
              </w:rPr>
              <w:t>Rekapitulation des PISA-Konstrukts Lesekompetenz</w:t>
            </w:r>
          </w:p>
        </w:tc>
        <w:tc>
          <w:tcPr>
            <w:tcW w:w="4008" w:type="dxa"/>
            <w:shd w:val="clear" w:color="auto" w:fill="auto"/>
          </w:tcPr>
          <w:p w14:paraId="0D2EA48E" w14:textId="77777777" w:rsidR="00A1275C" w:rsidRPr="008D30F9" w:rsidRDefault="00A1275C" w:rsidP="00ED4FE0">
            <w:pPr>
              <w:spacing w:line="276" w:lineRule="auto"/>
              <w:rPr>
                <w:rFonts w:cstheme="minorHAnsi"/>
              </w:rPr>
            </w:pPr>
            <w:proofErr w:type="spellStart"/>
            <w:r w:rsidRPr="00792BF0">
              <w:rPr>
                <w:rFonts w:cstheme="minorHAnsi"/>
              </w:rPr>
              <w:t>BaCuLit</w:t>
            </w:r>
            <w:proofErr w:type="spellEnd"/>
            <w:r w:rsidRPr="00792BF0">
              <w:rPr>
                <w:rFonts w:cstheme="minorHAnsi"/>
              </w:rPr>
              <w:t xml:space="preserve"> M9_1 PPT</w:t>
            </w:r>
            <w:r>
              <w:rPr>
                <w:rFonts w:cstheme="minorHAnsi"/>
              </w:rPr>
              <w:t>2</w:t>
            </w:r>
          </w:p>
          <w:p w14:paraId="516B97E7" w14:textId="15577060" w:rsidR="00A1275C" w:rsidRPr="00DD4148" w:rsidRDefault="00C94A67" w:rsidP="00ED4FE0">
            <w:pPr>
              <w:spacing w:after="240"/>
              <w:rPr>
                <w:sz w:val="24"/>
                <w:szCs w:val="24"/>
              </w:rPr>
            </w:pPr>
            <w:proofErr w:type="spellStart"/>
            <w:r w:rsidRPr="00792BF0">
              <w:rPr>
                <w:rFonts w:cstheme="minorHAnsi"/>
              </w:rPr>
              <w:t>BaCuLit</w:t>
            </w:r>
            <w:proofErr w:type="spellEnd"/>
            <w:r w:rsidRPr="00792BF0">
              <w:rPr>
                <w:rFonts w:cstheme="minorHAnsi"/>
              </w:rPr>
              <w:t xml:space="preserve"> M9_1 </w:t>
            </w:r>
            <w:r w:rsidR="00A1275C" w:rsidRPr="00CB6FB3">
              <w:rPr>
                <w:sz w:val="24"/>
                <w:szCs w:val="24"/>
              </w:rPr>
              <w:t>AB</w:t>
            </w:r>
            <w:r w:rsidR="00A1275C">
              <w:rPr>
                <w:sz w:val="24"/>
                <w:szCs w:val="24"/>
              </w:rPr>
              <w:t>6, AB7</w:t>
            </w:r>
            <w:r>
              <w:rPr>
                <w:sz w:val="24"/>
                <w:szCs w:val="24"/>
              </w:rPr>
              <w:t>, AB</w:t>
            </w:r>
            <w:r w:rsidR="00A1275C">
              <w:rPr>
                <w:sz w:val="24"/>
                <w:szCs w:val="24"/>
              </w:rPr>
              <w:t>8</w:t>
            </w:r>
          </w:p>
        </w:tc>
        <w:tc>
          <w:tcPr>
            <w:tcW w:w="1524" w:type="dxa"/>
            <w:shd w:val="clear" w:color="auto" w:fill="auto"/>
          </w:tcPr>
          <w:p w14:paraId="27AF5B3A" w14:textId="43F71302" w:rsidR="00A1275C" w:rsidRPr="00CB6FB3" w:rsidRDefault="00A1275C" w:rsidP="00ED4FE0">
            <w:pPr>
              <w:rPr>
                <w:rFonts w:cstheme="minorHAnsi"/>
                <w:sz w:val="24"/>
                <w:szCs w:val="24"/>
              </w:rPr>
            </w:pPr>
            <w:r w:rsidRPr="00CB6FB3">
              <w:rPr>
                <w:rFonts w:cstheme="minorHAnsi"/>
                <w:sz w:val="24"/>
                <w:szCs w:val="24"/>
              </w:rPr>
              <w:t>Folien 1</w:t>
            </w:r>
            <w:r w:rsidR="001A5197">
              <w:rPr>
                <w:rFonts w:cstheme="minorHAnsi"/>
                <w:sz w:val="24"/>
                <w:szCs w:val="24"/>
              </w:rPr>
              <w:t>5</w:t>
            </w:r>
            <w:r w:rsidRPr="00CB6FB3">
              <w:rPr>
                <w:rFonts w:cstheme="minorHAnsi"/>
                <w:sz w:val="24"/>
                <w:szCs w:val="24"/>
              </w:rPr>
              <w:t>-2</w:t>
            </w:r>
            <w:r>
              <w:rPr>
                <w:rFonts w:cstheme="minorHAnsi"/>
                <w:sz w:val="24"/>
                <w:szCs w:val="24"/>
              </w:rPr>
              <w:t>6</w:t>
            </w:r>
          </w:p>
          <w:p w14:paraId="0D4B7F8A" w14:textId="77777777" w:rsidR="00A1275C" w:rsidRPr="00DD4148" w:rsidRDefault="00A1275C" w:rsidP="00ED4FE0">
            <w:pPr>
              <w:rPr>
                <w:rFonts w:cstheme="minorHAnsi"/>
                <w:sz w:val="24"/>
                <w:szCs w:val="24"/>
                <w:lang w:val="en-US"/>
              </w:rPr>
            </w:pPr>
          </w:p>
        </w:tc>
      </w:tr>
      <w:tr w:rsidR="00A1275C" w:rsidRPr="00AF0B44" w14:paraId="1E7B343E" w14:textId="77777777" w:rsidTr="00ED4FE0">
        <w:tc>
          <w:tcPr>
            <w:tcW w:w="1044" w:type="dxa"/>
            <w:shd w:val="clear" w:color="auto" w:fill="auto"/>
          </w:tcPr>
          <w:p w14:paraId="57D6D04D" w14:textId="77777777" w:rsidR="00A1275C" w:rsidRPr="005121EB" w:rsidRDefault="00A1275C" w:rsidP="00ED4FE0">
            <w:pPr>
              <w:jc w:val="both"/>
              <w:rPr>
                <w:sz w:val="24"/>
                <w:szCs w:val="24"/>
              </w:rPr>
            </w:pPr>
            <w:r>
              <w:rPr>
                <w:sz w:val="24"/>
                <w:szCs w:val="24"/>
              </w:rPr>
              <w:t>10 Min.</w:t>
            </w:r>
          </w:p>
          <w:p w14:paraId="6701FDC6" w14:textId="77777777" w:rsidR="00A1275C" w:rsidRPr="005121EB" w:rsidRDefault="00A1275C" w:rsidP="00ED4FE0">
            <w:pPr>
              <w:jc w:val="both"/>
              <w:rPr>
                <w:sz w:val="24"/>
                <w:szCs w:val="24"/>
              </w:rPr>
            </w:pPr>
          </w:p>
          <w:p w14:paraId="52719308" w14:textId="77777777" w:rsidR="00A1275C" w:rsidRPr="005121EB" w:rsidRDefault="00A1275C" w:rsidP="00ED4FE0">
            <w:pPr>
              <w:jc w:val="both"/>
              <w:rPr>
                <w:sz w:val="24"/>
                <w:szCs w:val="24"/>
              </w:rPr>
            </w:pPr>
          </w:p>
          <w:p w14:paraId="6A228EA4" w14:textId="77777777" w:rsidR="00A1275C" w:rsidRPr="005121EB" w:rsidRDefault="00A1275C" w:rsidP="00ED4FE0">
            <w:pPr>
              <w:jc w:val="both"/>
              <w:rPr>
                <w:rFonts w:cstheme="minorHAnsi"/>
                <w:sz w:val="24"/>
                <w:szCs w:val="24"/>
              </w:rPr>
            </w:pPr>
          </w:p>
        </w:tc>
        <w:tc>
          <w:tcPr>
            <w:tcW w:w="7701" w:type="dxa"/>
            <w:shd w:val="clear" w:color="auto" w:fill="auto"/>
          </w:tcPr>
          <w:p w14:paraId="4AC729A1" w14:textId="77777777" w:rsidR="00A1275C" w:rsidRPr="00680CDB" w:rsidRDefault="00A1275C" w:rsidP="00ED4FE0">
            <w:pPr>
              <w:spacing w:after="120"/>
              <w:rPr>
                <w:rFonts w:cstheme="minorHAnsi"/>
                <w:sz w:val="24"/>
                <w:szCs w:val="24"/>
              </w:rPr>
            </w:pPr>
            <w:r>
              <w:rPr>
                <w:rFonts w:cstheme="minorHAnsi"/>
                <w:bCs/>
                <w:sz w:val="24"/>
                <w:szCs w:val="24"/>
              </w:rPr>
              <w:t>Abschlussr</w:t>
            </w:r>
            <w:r w:rsidRPr="005121EB">
              <w:rPr>
                <w:rFonts w:cstheme="minorHAnsi"/>
                <w:bCs/>
                <w:sz w:val="24"/>
                <w:szCs w:val="24"/>
              </w:rPr>
              <w:t xml:space="preserve">eflexion der Instrumente zur Diagnostik der </w:t>
            </w:r>
            <w:r>
              <w:rPr>
                <w:rFonts w:cstheme="minorHAnsi"/>
                <w:bCs/>
                <w:sz w:val="24"/>
                <w:szCs w:val="24"/>
              </w:rPr>
              <w:t>Prozessd</w:t>
            </w:r>
            <w:r w:rsidRPr="005121EB">
              <w:rPr>
                <w:rFonts w:cstheme="minorHAnsi"/>
                <w:bCs/>
                <w:sz w:val="24"/>
                <w:szCs w:val="24"/>
              </w:rPr>
              <w:t>imension</w:t>
            </w:r>
            <w:r>
              <w:rPr>
                <w:rFonts w:cstheme="minorHAnsi"/>
                <w:bCs/>
                <w:sz w:val="24"/>
                <w:szCs w:val="24"/>
              </w:rPr>
              <w:t>en</w:t>
            </w:r>
            <w:r w:rsidRPr="005121EB">
              <w:rPr>
                <w:rFonts w:cstheme="minorHAnsi"/>
                <w:bCs/>
                <w:sz w:val="24"/>
                <w:szCs w:val="24"/>
              </w:rPr>
              <w:t xml:space="preserve"> von Lesekompetenz</w:t>
            </w:r>
            <w:r>
              <w:rPr>
                <w:rFonts w:cstheme="minorHAnsi"/>
                <w:bCs/>
                <w:sz w:val="24"/>
                <w:szCs w:val="24"/>
              </w:rPr>
              <w:t>: Welche Möglichkeiten zum Einsatz im eigenen Unterricht sehen die TN?</w:t>
            </w:r>
          </w:p>
        </w:tc>
        <w:tc>
          <w:tcPr>
            <w:tcW w:w="4008" w:type="dxa"/>
            <w:shd w:val="clear" w:color="auto" w:fill="auto"/>
          </w:tcPr>
          <w:p w14:paraId="5594EF96" w14:textId="77777777" w:rsidR="00A1275C" w:rsidRPr="008D30F9" w:rsidRDefault="00A1275C" w:rsidP="00ED4FE0">
            <w:pPr>
              <w:spacing w:line="276" w:lineRule="auto"/>
              <w:rPr>
                <w:rFonts w:cstheme="minorHAnsi"/>
              </w:rPr>
            </w:pPr>
            <w:proofErr w:type="spellStart"/>
            <w:r w:rsidRPr="00792BF0">
              <w:rPr>
                <w:rFonts w:cstheme="minorHAnsi"/>
              </w:rPr>
              <w:t>BaCuLit</w:t>
            </w:r>
            <w:proofErr w:type="spellEnd"/>
            <w:r w:rsidRPr="00792BF0">
              <w:rPr>
                <w:rFonts w:cstheme="minorHAnsi"/>
              </w:rPr>
              <w:t xml:space="preserve"> M9_1 PPT</w:t>
            </w:r>
            <w:r>
              <w:rPr>
                <w:rFonts w:cstheme="minorHAnsi"/>
              </w:rPr>
              <w:t>2</w:t>
            </w:r>
          </w:p>
          <w:p w14:paraId="4DB82F20" w14:textId="77777777" w:rsidR="00A1275C" w:rsidRPr="00AF0B44" w:rsidRDefault="00A1275C" w:rsidP="00ED4FE0">
            <w:pPr>
              <w:spacing w:after="240"/>
              <w:rPr>
                <w:rFonts w:cstheme="minorHAnsi"/>
                <w:sz w:val="24"/>
                <w:szCs w:val="24"/>
                <w:lang w:val="en-US"/>
              </w:rPr>
            </w:pPr>
          </w:p>
        </w:tc>
        <w:tc>
          <w:tcPr>
            <w:tcW w:w="1524" w:type="dxa"/>
            <w:shd w:val="clear" w:color="auto" w:fill="auto"/>
          </w:tcPr>
          <w:p w14:paraId="2DF4AC1A" w14:textId="14540FF0" w:rsidR="00A1275C" w:rsidRPr="00AF0B44" w:rsidRDefault="00A1275C" w:rsidP="00ED4FE0">
            <w:pPr>
              <w:spacing w:after="240"/>
              <w:jc w:val="both"/>
              <w:rPr>
                <w:rFonts w:cstheme="minorHAnsi"/>
                <w:sz w:val="24"/>
                <w:szCs w:val="24"/>
                <w:lang w:val="en-US"/>
              </w:rPr>
            </w:pPr>
            <w:proofErr w:type="spellStart"/>
            <w:r>
              <w:rPr>
                <w:rFonts w:cstheme="minorHAnsi"/>
                <w:sz w:val="24"/>
                <w:szCs w:val="24"/>
                <w:lang w:val="en-US"/>
              </w:rPr>
              <w:t>Folien</w:t>
            </w:r>
            <w:proofErr w:type="spellEnd"/>
            <w:r>
              <w:rPr>
                <w:rFonts w:cstheme="minorHAnsi"/>
                <w:sz w:val="24"/>
                <w:szCs w:val="24"/>
                <w:lang w:val="en-US"/>
              </w:rPr>
              <w:t xml:space="preserve"> 2</w:t>
            </w:r>
            <w:r w:rsidR="00B506B5">
              <w:rPr>
                <w:rFonts w:cstheme="minorHAnsi"/>
                <w:sz w:val="24"/>
                <w:szCs w:val="24"/>
                <w:lang w:val="en-US"/>
              </w:rPr>
              <w:t>7</w:t>
            </w:r>
            <w:r>
              <w:rPr>
                <w:rFonts w:cstheme="minorHAnsi"/>
                <w:sz w:val="24"/>
                <w:szCs w:val="24"/>
                <w:lang w:val="en-US"/>
              </w:rPr>
              <w:t>-</w:t>
            </w:r>
            <w:r w:rsidR="00B506B5">
              <w:rPr>
                <w:rFonts w:cstheme="minorHAnsi"/>
                <w:sz w:val="24"/>
                <w:szCs w:val="24"/>
                <w:lang w:val="en-US"/>
              </w:rPr>
              <w:t>30</w:t>
            </w:r>
          </w:p>
        </w:tc>
      </w:tr>
      <w:tr w:rsidR="00A1275C" w:rsidRPr="008C5788" w14:paraId="42534C46" w14:textId="77777777" w:rsidTr="00ED4FE0">
        <w:tc>
          <w:tcPr>
            <w:tcW w:w="1044" w:type="dxa"/>
            <w:shd w:val="clear" w:color="auto" w:fill="auto"/>
          </w:tcPr>
          <w:p w14:paraId="778FFD58" w14:textId="77777777" w:rsidR="00A1275C" w:rsidRPr="005121EB" w:rsidRDefault="00A1275C" w:rsidP="00ED4FE0">
            <w:pPr>
              <w:jc w:val="both"/>
              <w:rPr>
                <w:rFonts w:cstheme="minorHAnsi"/>
                <w:sz w:val="24"/>
                <w:szCs w:val="24"/>
              </w:rPr>
            </w:pPr>
            <w:r w:rsidRPr="005121EB">
              <w:rPr>
                <w:rFonts w:cstheme="minorHAnsi"/>
                <w:sz w:val="24"/>
                <w:szCs w:val="24"/>
              </w:rPr>
              <w:t>5 Min.</w:t>
            </w:r>
          </w:p>
        </w:tc>
        <w:tc>
          <w:tcPr>
            <w:tcW w:w="7701" w:type="dxa"/>
            <w:shd w:val="clear" w:color="auto" w:fill="auto"/>
          </w:tcPr>
          <w:p w14:paraId="69F71C77" w14:textId="77777777" w:rsidR="00A1275C" w:rsidRPr="005121EB" w:rsidRDefault="00A1275C" w:rsidP="00ED4FE0">
            <w:pPr>
              <w:rPr>
                <w:rFonts w:cstheme="minorHAnsi"/>
                <w:sz w:val="24"/>
                <w:szCs w:val="24"/>
              </w:rPr>
            </w:pPr>
            <w:r w:rsidRPr="005121EB">
              <w:rPr>
                <w:rFonts w:cstheme="minorHAnsi"/>
                <w:sz w:val="24"/>
                <w:szCs w:val="24"/>
              </w:rPr>
              <w:t>Abspann und Verabschiedung, Aushändigen des Evaluationsfragebogens und evtl. nach- oder vorbereitende Aufgaben für den nächsten Workshop / für die Zertifizierung.</w:t>
            </w:r>
          </w:p>
        </w:tc>
        <w:tc>
          <w:tcPr>
            <w:tcW w:w="4008" w:type="dxa"/>
            <w:shd w:val="clear" w:color="auto" w:fill="auto"/>
          </w:tcPr>
          <w:p w14:paraId="480BF90A" w14:textId="77777777" w:rsidR="00A1275C" w:rsidRPr="00CB6FB3" w:rsidRDefault="00A1275C" w:rsidP="00ED4FE0">
            <w:pPr>
              <w:rPr>
                <w:rFonts w:cstheme="minorHAnsi"/>
                <w:sz w:val="24"/>
                <w:szCs w:val="24"/>
              </w:rPr>
            </w:pPr>
            <w:proofErr w:type="spellStart"/>
            <w:r w:rsidRPr="00CB6FB3">
              <w:rPr>
                <w:rFonts w:cstheme="minorHAnsi"/>
                <w:sz w:val="24"/>
                <w:szCs w:val="24"/>
              </w:rPr>
              <w:t>BaCuLit_Evaluationsfragebogen</w:t>
            </w:r>
            <w:proofErr w:type="spellEnd"/>
            <w:r w:rsidRPr="00CB6FB3">
              <w:rPr>
                <w:rFonts w:cstheme="minorHAnsi"/>
                <w:sz w:val="24"/>
                <w:szCs w:val="24"/>
              </w:rPr>
              <w:t xml:space="preserve"> für alle Module</w:t>
            </w:r>
          </w:p>
        </w:tc>
        <w:tc>
          <w:tcPr>
            <w:tcW w:w="1524" w:type="dxa"/>
            <w:shd w:val="clear" w:color="auto" w:fill="auto"/>
          </w:tcPr>
          <w:p w14:paraId="0E5DDF7C" w14:textId="77777777" w:rsidR="00A1275C" w:rsidRPr="008C5788" w:rsidRDefault="00A1275C" w:rsidP="00ED4FE0">
            <w:pPr>
              <w:jc w:val="both"/>
              <w:rPr>
                <w:rFonts w:cstheme="minorHAnsi"/>
              </w:rPr>
            </w:pPr>
          </w:p>
        </w:tc>
      </w:tr>
      <w:tr w:rsidR="00A1275C" w:rsidRPr="008C5788" w14:paraId="1F01E520" w14:textId="77777777" w:rsidTr="00ED4FE0">
        <w:tc>
          <w:tcPr>
            <w:tcW w:w="1044" w:type="dxa"/>
            <w:shd w:val="clear" w:color="auto" w:fill="33CCCC"/>
          </w:tcPr>
          <w:p w14:paraId="10A1E410" w14:textId="77777777" w:rsidR="00A1275C" w:rsidRPr="005121EB" w:rsidRDefault="00A1275C" w:rsidP="00ED4FE0">
            <w:pPr>
              <w:jc w:val="both"/>
              <w:rPr>
                <w:rFonts w:cstheme="minorHAnsi"/>
                <w:sz w:val="24"/>
                <w:szCs w:val="24"/>
              </w:rPr>
            </w:pPr>
          </w:p>
        </w:tc>
        <w:tc>
          <w:tcPr>
            <w:tcW w:w="7701" w:type="dxa"/>
            <w:shd w:val="clear" w:color="auto" w:fill="33CCCC"/>
          </w:tcPr>
          <w:p w14:paraId="2DB6E9FE" w14:textId="77777777" w:rsidR="00A1275C" w:rsidRPr="005121EB" w:rsidRDefault="00A1275C" w:rsidP="00ED4FE0">
            <w:pPr>
              <w:rPr>
                <w:rFonts w:cstheme="minorHAnsi"/>
                <w:b/>
                <w:sz w:val="24"/>
                <w:szCs w:val="24"/>
              </w:rPr>
            </w:pPr>
            <w:r w:rsidRPr="005121EB">
              <w:rPr>
                <w:rFonts w:cstheme="minorHAnsi"/>
                <w:b/>
                <w:sz w:val="24"/>
                <w:szCs w:val="24"/>
              </w:rPr>
              <w:t>Ende oder Mittagspause im Falle einer Ganztages-Fortbildung</w:t>
            </w:r>
          </w:p>
        </w:tc>
        <w:tc>
          <w:tcPr>
            <w:tcW w:w="4008" w:type="dxa"/>
            <w:shd w:val="clear" w:color="auto" w:fill="33CCCC"/>
          </w:tcPr>
          <w:p w14:paraId="5D3B873E" w14:textId="77777777" w:rsidR="00A1275C" w:rsidRPr="008C5788" w:rsidRDefault="00A1275C" w:rsidP="00ED4FE0">
            <w:pPr>
              <w:spacing w:after="240"/>
              <w:jc w:val="both"/>
              <w:rPr>
                <w:rFonts w:cstheme="minorHAnsi"/>
              </w:rPr>
            </w:pPr>
          </w:p>
        </w:tc>
        <w:tc>
          <w:tcPr>
            <w:tcW w:w="1524" w:type="dxa"/>
            <w:shd w:val="clear" w:color="auto" w:fill="33CCCC"/>
          </w:tcPr>
          <w:p w14:paraId="4FC04AC9" w14:textId="77777777" w:rsidR="00A1275C" w:rsidRPr="008C5788" w:rsidRDefault="00A1275C" w:rsidP="00ED4FE0">
            <w:pPr>
              <w:spacing w:after="240"/>
              <w:jc w:val="both"/>
              <w:rPr>
                <w:rFonts w:cstheme="minorHAnsi"/>
              </w:rPr>
            </w:pPr>
          </w:p>
        </w:tc>
      </w:tr>
    </w:tbl>
    <w:p w14:paraId="602BE74C" w14:textId="38B48DCD" w:rsidR="006E2347" w:rsidRDefault="006E2347" w:rsidP="00C94A67"/>
    <w:p w14:paraId="7D3BC795" w14:textId="77777777" w:rsidR="00F57816" w:rsidRDefault="00F57816" w:rsidP="00F57816">
      <w:pPr>
        <w:pStyle w:val="Tabelle"/>
      </w:pPr>
    </w:p>
    <w:sectPr w:rsidR="00F57816" w:rsidSect="00E61A7D">
      <w:headerReference w:type="default" r:id="rId7"/>
      <w:foot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5A77D" w14:textId="77777777" w:rsidR="000E0061" w:rsidRDefault="000E0061" w:rsidP="003326AA">
      <w:pPr>
        <w:spacing w:after="0" w:line="240" w:lineRule="auto"/>
      </w:pPr>
      <w:r>
        <w:separator/>
      </w:r>
    </w:p>
  </w:endnote>
  <w:endnote w:type="continuationSeparator" w:id="0">
    <w:p w14:paraId="7ECC72E5" w14:textId="77777777" w:rsidR="000E0061" w:rsidRDefault="000E0061" w:rsidP="00332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28CB" w14:textId="631FAB90" w:rsidR="003326AA" w:rsidRPr="0064133D" w:rsidRDefault="0064133D" w:rsidP="0064133D">
    <w:pPr>
      <w:pStyle w:val="Fuzeile"/>
      <w:jc w:val="right"/>
    </w:pPr>
    <w:r w:rsidRPr="00C10EC7">
      <w:rPr>
        <w:noProof/>
      </w:rPr>
      <w:drawing>
        <wp:inline distT="0" distB="0" distL="0" distR="0" wp14:anchorId="170FFA6A" wp14:editId="5B068069">
          <wp:extent cx="838200" cy="294005"/>
          <wp:effectExtent l="0" t="0" r="0" b="0"/>
          <wp:docPr id="2" name="Grafik 6" descr="Creative Commons Lizenzvertrag">
            <a:extLst xmlns:a="http://schemas.openxmlformats.org/drawingml/2006/main">
              <a:ext uri="{FF2B5EF4-FFF2-40B4-BE49-F238E27FC236}">
                <a16:creationId xmlns:a16="http://schemas.microsoft.com/office/drawing/2014/main" id="{58EA8357-2423-40B8-B7C6-B809C8B51015}"/>
              </a:ext>
            </a:extLst>
          </wp:docPr>
          <wp:cNvGraphicFramePr/>
          <a:graphic xmlns:a="http://schemas.openxmlformats.org/drawingml/2006/main">
            <a:graphicData uri="http://schemas.openxmlformats.org/drawingml/2006/picture">
              <pic:pic xmlns:pic="http://schemas.openxmlformats.org/drawingml/2006/picture">
                <pic:nvPicPr>
                  <pic:cNvPr id="7" name="Grafik 6" descr="Creative Commons Lizenzvertrag">
                    <a:extLst>
                      <a:ext uri="{FF2B5EF4-FFF2-40B4-BE49-F238E27FC236}">
                        <a16:creationId xmlns:a16="http://schemas.microsoft.com/office/drawing/2014/main" id="{58EA8357-2423-40B8-B7C6-B809C8B51015}"/>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4005"/>
                  </a:xfrm>
                  <a:prstGeom prst="rect">
                    <a:avLst/>
                  </a:prstGeom>
                  <a:noFill/>
                  <a:ln>
                    <a:noFill/>
                  </a:ln>
                </pic:spPr>
              </pic:pic>
            </a:graphicData>
          </a:graphic>
        </wp:inline>
      </w:drawing>
    </w:r>
    <w:r>
      <w:rPr>
        <w:rFonts w:cstheme="minorHAnsi"/>
        <w:color w:val="000000" w:themeColor="text1"/>
        <w:kern w:val="24"/>
        <w:sz w:val="36"/>
        <w:szCs w:val="36"/>
      </w:rPr>
      <w:t xml:space="preserve"> </w:t>
    </w:r>
    <w:proofErr w:type="spellStart"/>
    <w:r w:rsidRPr="008E31A9">
      <w:rPr>
        <w:rFonts w:cstheme="minorHAnsi"/>
        <w:color w:val="000000" w:themeColor="text1"/>
        <w:kern w:val="24"/>
        <w:sz w:val="28"/>
        <w:szCs w:val="28"/>
      </w:rPr>
      <w:t>B</w:t>
    </w:r>
    <w:r>
      <w:rPr>
        <w:rFonts w:cstheme="minorHAnsi"/>
        <w:color w:val="000000" w:themeColor="text1"/>
        <w:kern w:val="24"/>
        <w:sz w:val="28"/>
        <w:szCs w:val="28"/>
      </w:rPr>
      <w:t>aCuLit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09105" w14:textId="77777777" w:rsidR="000E0061" w:rsidRDefault="000E0061" w:rsidP="003326AA">
      <w:pPr>
        <w:spacing w:after="0" w:line="240" w:lineRule="auto"/>
      </w:pPr>
      <w:r>
        <w:separator/>
      </w:r>
    </w:p>
  </w:footnote>
  <w:footnote w:type="continuationSeparator" w:id="0">
    <w:p w14:paraId="7BC96436" w14:textId="77777777" w:rsidR="000E0061" w:rsidRDefault="000E0061" w:rsidP="003326AA">
      <w:pPr>
        <w:spacing w:after="0" w:line="240" w:lineRule="auto"/>
      </w:pPr>
      <w:r>
        <w:continuationSeparator/>
      </w:r>
    </w:p>
  </w:footnote>
  <w:footnote w:id="1">
    <w:p w14:paraId="3E8B97A2" w14:textId="77777777" w:rsidR="00423A70" w:rsidRDefault="00423A70" w:rsidP="00423A70">
      <w:pPr>
        <w:pStyle w:val="Funotentext"/>
      </w:pPr>
      <w:r>
        <w:rPr>
          <w:rStyle w:val="Funotenzeichen"/>
        </w:rPr>
        <w:footnoteRef/>
      </w:r>
      <w:r>
        <w:t xml:space="preserve"> Die angegebene Zeit ist ohne Pausen kalkuliert; vorgeschlagen werden aber Zeitpunkte, zu denen eine Pause sinnvoll erscheint. </w:t>
      </w:r>
    </w:p>
  </w:footnote>
  <w:footnote w:id="2">
    <w:p w14:paraId="26B07AA2" w14:textId="77777777" w:rsidR="00A1275C" w:rsidRDefault="00A1275C" w:rsidP="00A1275C">
      <w:pPr>
        <w:pStyle w:val="Funotentext"/>
      </w:pPr>
      <w:r>
        <w:rPr>
          <w:rStyle w:val="Funotenzeichen"/>
        </w:rPr>
        <w:footnoteRef/>
      </w:r>
      <w:r>
        <w:t xml:space="preserve"> Dieser Vorschlag basiert auf durchgeführten Lehreinheiten von Dr. Yvonne Hörmann und Prof. Dr. Christine Garbe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AE9A" w14:textId="143293BB" w:rsidR="003326AA" w:rsidRDefault="003326AA">
    <w:pPr>
      <w:pStyle w:val="Kopfzeile"/>
    </w:pPr>
    <w:r>
      <w:rPr>
        <w:rFonts w:ascii="Calibri" w:hAnsi="Calibri" w:cs="Calibri"/>
        <w:b/>
        <w:noProof/>
        <w:lang w:eastAsia="de-DE"/>
      </w:rPr>
      <w:drawing>
        <wp:anchor distT="0" distB="0" distL="114300" distR="114300" simplePos="0" relativeHeight="251659264" behindDoc="0" locked="0" layoutInCell="1" allowOverlap="1" wp14:anchorId="17F0D6C9" wp14:editId="1F1DA039">
          <wp:simplePos x="0" y="0"/>
          <wp:positionH relativeFrom="column">
            <wp:posOffset>7774305</wp:posOffset>
          </wp:positionH>
          <wp:positionV relativeFrom="paragraph">
            <wp:posOffset>343535</wp:posOffset>
          </wp:positionV>
          <wp:extent cx="1278890" cy="342900"/>
          <wp:effectExtent l="0" t="0" r="0" b="12700"/>
          <wp:wrapTight wrapText="bothSides">
            <wp:wrapPolygon edited="0">
              <wp:start x="0" y="0"/>
              <wp:lineTo x="0" y="20800"/>
              <wp:lineTo x="21021" y="20800"/>
              <wp:lineTo x="21021" y="0"/>
              <wp:lineTo x="0" y="0"/>
            </wp:wrapPolygon>
          </wp:wrapTight>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1">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A39D4">
      <w:rPr>
        <w:noProof/>
      </w:rPr>
      <w:drawing>
        <wp:inline distT="0" distB="0" distL="0" distR="0" wp14:anchorId="101680EE" wp14:editId="735A37A2">
          <wp:extent cx="790732" cy="7884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2">
                    <a:extLst>
                      <a:ext uri="{28A0092B-C50C-407E-A947-70E740481C1C}">
                        <a14:useLocalDpi xmlns:a14="http://schemas.microsoft.com/office/drawing/2010/main" val="0"/>
                      </a:ext>
                    </a:extLst>
                  </a:blip>
                  <a:stretch>
                    <a:fillRect/>
                  </a:stretch>
                </pic:blipFill>
                <pic:spPr>
                  <a:xfrm>
                    <a:off x="0" y="0"/>
                    <a:ext cx="790732" cy="788400"/>
                  </a:xfrm>
                  <a:prstGeom prst="rect">
                    <a:avLst/>
                  </a:prstGeom>
                </pic:spPr>
              </pic:pic>
            </a:graphicData>
          </a:graphic>
        </wp:inline>
      </w:drawing>
    </w:r>
  </w:p>
  <w:p w14:paraId="33F23B82" w14:textId="77777777" w:rsidR="003326AA" w:rsidRPr="004A39D4" w:rsidRDefault="003326AA">
    <w:pPr>
      <w:pStyle w:val="Kopfzeile"/>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83CE7"/>
    <w:multiLevelType w:val="hybridMultilevel"/>
    <w:tmpl w:val="3DB245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2D07870"/>
    <w:multiLevelType w:val="hybridMultilevel"/>
    <w:tmpl w:val="4D54EAA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0D5486"/>
    <w:multiLevelType w:val="hybridMultilevel"/>
    <w:tmpl w:val="A2204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180408A"/>
    <w:multiLevelType w:val="hybridMultilevel"/>
    <w:tmpl w:val="66D447B6"/>
    <w:lvl w:ilvl="0" w:tplc="4CE442DC">
      <w:start w:val="26"/>
      <w:numFmt w:val="bullet"/>
      <w:lvlText w:val="-"/>
      <w:lvlJc w:val="left"/>
      <w:pPr>
        <w:ind w:left="420" w:hanging="360"/>
      </w:pPr>
      <w:rPr>
        <w:rFonts w:ascii="Calibri" w:eastAsiaTheme="minorHAnsi" w:hAnsi="Calibri" w:cs="Calibri"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num w:numId="1" w16cid:durableId="1245918986">
    <w:abstractNumId w:val="2"/>
  </w:num>
  <w:num w:numId="2" w16cid:durableId="2032217492">
    <w:abstractNumId w:val="0"/>
  </w:num>
  <w:num w:numId="3" w16cid:durableId="839200796">
    <w:abstractNumId w:val="3"/>
  </w:num>
  <w:num w:numId="4" w16cid:durableId="585303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799"/>
    <w:rsid w:val="00072696"/>
    <w:rsid w:val="00085C20"/>
    <w:rsid w:val="000B0D3C"/>
    <w:rsid w:val="000E0061"/>
    <w:rsid w:val="000F2777"/>
    <w:rsid w:val="00123326"/>
    <w:rsid w:val="0013598A"/>
    <w:rsid w:val="0015297C"/>
    <w:rsid w:val="00180946"/>
    <w:rsid w:val="001847F5"/>
    <w:rsid w:val="001A5197"/>
    <w:rsid w:val="001B52F8"/>
    <w:rsid w:val="001B75CA"/>
    <w:rsid w:val="001C0855"/>
    <w:rsid w:val="001E1826"/>
    <w:rsid w:val="001F4974"/>
    <w:rsid w:val="002272D6"/>
    <w:rsid w:val="00252364"/>
    <w:rsid w:val="0026107A"/>
    <w:rsid w:val="00265572"/>
    <w:rsid w:val="002D76E2"/>
    <w:rsid w:val="003326AA"/>
    <w:rsid w:val="00343799"/>
    <w:rsid w:val="0037504E"/>
    <w:rsid w:val="003831BA"/>
    <w:rsid w:val="0039272F"/>
    <w:rsid w:val="003A279C"/>
    <w:rsid w:val="003B1A1A"/>
    <w:rsid w:val="003D23AA"/>
    <w:rsid w:val="00423A70"/>
    <w:rsid w:val="0043584A"/>
    <w:rsid w:val="0044532D"/>
    <w:rsid w:val="0046763E"/>
    <w:rsid w:val="00487567"/>
    <w:rsid w:val="004A39D4"/>
    <w:rsid w:val="004C548C"/>
    <w:rsid w:val="004D2B94"/>
    <w:rsid w:val="00503C24"/>
    <w:rsid w:val="00536DCD"/>
    <w:rsid w:val="00542191"/>
    <w:rsid w:val="00577FD0"/>
    <w:rsid w:val="005B1B04"/>
    <w:rsid w:val="005C6405"/>
    <w:rsid w:val="005D1C7E"/>
    <w:rsid w:val="005D2658"/>
    <w:rsid w:val="005D78C0"/>
    <w:rsid w:val="005F6369"/>
    <w:rsid w:val="00621ACF"/>
    <w:rsid w:val="0062259A"/>
    <w:rsid w:val="0064133D"/>
    <w:rsid w:val="0064496B"/>
    <w:rsid w:val="00644EE7"/>
    <w:rsid w:val="006547AA"/>
    <w:rsid w:val="006630D5"/>
    <w:rsid w:val="006710FF"/>
    <w:rsid w:val="006D7143"/>
    <w:rsid w:val="006E2347"/>
    <w:rsid w:val="007069B5"/>
    <w:rsid w:val="00746C27"/>
    <w:rsid w:val="00766172"/>
    <w:rsid w:val="00795B18"/>
    <w:rsid w:val="007A09DE"/>
    <w:rsid w:val="007A3F1C"/>
    <w:rsid w:val="007A55E1"/>
    <w:rsid w:val="007E5792"/>
    <w:rsid w:val="007F058F"/>
    <w:rsid w:val="007F0D51"/>
    <w:rsid w:val="00802D42"/>
    <w:rsid w:val="0082053C"/>
    <w:rsid w:val="00834041"/>
    <w:rsid w:val="008A41C9"/>
    <w:rsid w:val="008C03BB"/>
    <w:rsid w:val="008C4A51"/>
    <w:rsid w:val="008D2AD1"/>
    <w:rsid w:val="008E250A"/>
    <w:rsid w:val="008E2C15"/>
    <w:rsid w:val="008E3CFC"/>
    <w:rsid w:val="008F0C3E"/>
    <w:rsid w:val="009112B0"/>
    <w:rsid w:val="00915358"/>
    <w:rsid w:val="009416F9"/>
    <w:rsid w:val="009440FF"/>
    <w:rsid w:val="00947147"/>
    <w:rsid w:val="0096597A"/>
    <w:rsid w:val="00976103"/>
    <w:rsid w:val="009A2911"/>
    <w:rsid w:val="009A351B"/>
    <w:rsid w:val="009A6E55"/>
    <w:rsid w:val="009E4C97"/>
    <w:rsid w:val="009E70E6"/>
    <w:rsid w:val="009F0F2D"/>
    <w:rsid w:val="00A07E50"/>
    <w:rsid w:val="00A1275C"/>
    <w:rsid w:val="00A21683"/>
    <w:rsid w:val="00A24D7C"/>
    <w:rsid w:val="00A272D0"/>
    <w:rsid w:val="00A50E35"/>
    <w:rsid w:val="00A574E0"/>
    <w:rsid w:val="00AF70B9"/>
    <w:rsid w:val="00B506B5"/>
    <w:rsid w:val="00BB671D"/>
    <w:rsid w:val="00BF1D5D"/>
    <w:rsid w:val="00C532F7"/>
    <w:rsid w:val="00C6425C"/>
    <w:rsid w:val="00C94A67"/>
    <w:rsid w:val="00CA465D"/>
    <w:rsid w:val="00CA4C75"/>
    <w:rsid w:val="00CB1D4A"/>
    <w:rsid w:val="00CC6550"/>
    <w:rsid w:val="00CD6A7E"/>
    <w:rsid w:val="00CE1988"/>
    <w:rsid w:val="00CE2642"/>
    <w:rsid w:val="00CE4D23"/>
    <w:rsid w:val="00CF1CFB"/>
    <w:rsid w:val="00D01775"/>
    <w:rsid w:val="00D46D7F"/>
    <w:rsid w:val="00D73F38"/>
    <w:rsid w:val="00DA1AC0"/>
    <w:rsid w:val="00DD04C9"/>
    <w:rsid w:val="00DD2EF2"/>
    <w:rsid w:val="00DF58BB"/>
    <w:rsid w:val="00E13179"/>
    <w:rsid w:val="00E14AB0"/>
    <w:rsid w:val="00E1533D"/>
    <w:rsid w:val="00E61A7D"/>
    <w:rsid w:val="00EA26FF"/>
    <w:rsid w:val="00EA63DC"/>
    <w:rsid w:val="00ED0B7A"/>
    <w:rsid w:val="00F003F1"/>
    <w:rsid w:val="00F211B8"/>
    <w:rsid w:val="00F332C0"/>
    <w:rsid w:val="00F57816"/>
    <w:rsid w:val="00F66EF7"/>
    <w:rsid w:val="00F9482C"/>
    <w:rsid w:val="00FA11C8"/>
    <w:rsid w:val="00FB41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A3A21"/>
  <w15:chartTrackingRefBased/>
  <w15:docId w15:val="{54782858-C5D1-4816-9C27-35F928DF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57816"/>
    <w:pPr>
      <w:spacing w:before="120"/>
      <w:jc w:val="center"/>
      <w:outlineLvl w:val="0"/>
    </w:pPr>
    <w:rPr>
      <w:b/>
      <w:sz w:val="48"/>
      <w:szCs w:val="28"/>
    </w:rPr>
  </w:style>
  <w:style w:type="paragraph" w:styleId="berschrift2">
    <w:name w:val="heading 2"/>
    <w:basedOn w:val="Standard"/>
    <w:next w:val="Standard"/>
    <w:link w:val="berschrift2Zchn"/>
    <w:uiPriority w:val="9"/>
    <w:unhideWhenUsed/>
    <w:qFormat/>
    <w:rsid w:val="00F57816"/>
    <w:pPr>
      <w:jc w:val="center"/>
      <w:outlineLvl w:val="1"/>
    </w:pPr>
    <w:rPr>
      <w:b/>
      <w:sz w:val="36"/>
      <w:szCs w:val="28"/>
    </w:rPr>
  </w:style>
  <w:style w:type="paragraph" w:styleId="berschrift3">
    <w:name w:val="heading 3"/>
    <w:basedOn w:val="Standard"/>
    <w:next w:val="Standard"/>
    <w:link w:val="berschrift3Zchn"/>
    <w:uiPriority w:val="9"/>
    <w:unhideWhenUsed/>
    <w:qFormat/>
    <w:rsid w:val="007A3F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57816"/>
    <w:pPr>
      <w:shd w:val="clear" w:color="auto" w:fill="33CCCC"/>
      <w:spacing w:after="0" w:line="240" w:lineRule="auto"/>
      <w:contextualSpacing/>
      <w:jc w:val="center"/>
    </w:pPr>
    <w:rPr>
      <w:rFonts w:asciiTheme="majorHAnsi" w:eastAsiaTheme="majorEastAsia" w:hAnsiTheme="majorHAnsi" w:cstheme="majorBidi"/>
      <w:b/>
      <w:spacing w:val="-10"/>
      <w:kern w:val="28"/>
      <w:sz w:val="44"/>
      <w:szCs w:val="56"/>
    </w:rPr>
  </w:style>
  <w:style w:type="character" w:customStyle="1" w:styleId="TitelZchn">
    <w:name w:val="Titel Zchn"/>
    <w:basedOn w:val="Absatz-Standardschriftart"/>
    <w:link w:val="Titel"/>
    <w:uiPriority w:val="10"/>
    <w:rsid w:val="00F57816"/>
    <w:rPr>
      <w:rFonts w:asciiTheme="majorHAnsi" w:eastAsiaTheme="majorEastAsia" w:hAnsiTheme="majorHAnsi" w:cstheme="majorBidi"/>
      <w:b/>
      <w:spacing w:val="-10"/>
      <w:kern w:val="28"/>
      <w:sz w:val="44"/>
      <w:szCs w:val="56"/>
      <w:shd w:val="clear" w:color="auto" w:fill="33CCCC"/>
    </w:rPr>
  </w:style>
  <w:style w:type="table" w:styleId="Tabellenraster">
    <w:name w:val="Table Grid"/>
    <w:basedOn w:val="NormaleTabelle"/>
    <w:uiPriority w:val="39"/>
    <w:rsid w:val="00E61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C6405"/>
    <w:pPr>
      <w:spacing w:after="200" w:line="276" w:lineRule="auto"/>
      <w:ind w:left="720"/>
      <w:contextualSpacing/>
    </w:pPr>
  </w:style>
  <w:style w:type="paragraph" w:styleId="Kopfzeile">
    <w:name w:val="header"/>
    <w:basedOn w:val="Standard"/>
    <w:link w:val="KopfzeileZchn"/>
    <w:uiPriority w:val="99"/>
    <w:unhideWhenUsed/>
    <w:rsid w:val="003326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26AA"/>
  </w:style>
  <w:style w:type="paragraph" w:styleId="Fuzeile">
    <w:name w:val="footer"/>
    <w:basedOn w:val="Standard"/>
    <w:link w:val="FuzeileZchn"/>
    <w:uiPriority w:val="99"/>
    <w:unhideWhenUsed/>
    <w:rsid w:val="003326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26AA"/>
  </w:style>
  <w:style w:type="character" w:customStyle="1" w:styleId="berschrift1Zchn">
    <w:name w:val="Überschrift 1 Zchn"/>
    <w:basedOn w:val="Absatz-Standardschriftart"/>
    <w:link w:val="berschrift1"/>
    <w:uiPriority w:val="9"/>
    <w:rsid w:val="00F57816"/>
    <w:rPr>
      <w:b/>
      <w:sz w:val="48"/>
      <w:szCs w:val="28"/>
    </w:rPr>
  </w:style>
  <w:style w:type="character" w:customStyle="1" w:styleId="berschrift2Zchn">
    <w:name w:val="Überschrift 2 Zchn"/>
    <w:basedOn w:val="Absatz-Standardschriftart"/>
    <w:link w:val="berschrift2"/>
    <w:uiPriority w:val="9"/>
    <w:rsid w:val="00F57816"/>
    <w:rPr>
      <w:b/>
      <w:sz w:val="36"/>
      <w:szCs w:val="28"/>
    </w:rPr>
  </w:style>
  <w:style w:type="paragraph" w:customStyle="1" w:styleId="Tabelle">
    <w:name w:val="Tabelle"/>
    <w:basedOn w:val="Standard"/>
    <w:link w:val="TabelleZchn"/>
    <w:rsid w:val="00F57816"/>
    <w:pPr>
      <w:spacing w:after="0" w:line="240" w:lineRule="auto"/>
      <w:jc w:val="both"/>
    </w:pPr>
    <w:rPr>
      <w:b/>
      <w:sz w:val="28"/>
      <w:szCs w:val="28"/>
    </w:rPr>
  </w:style>
  <w:style w:type="character" w:customStyle="1" w:styleId="TabelleZchn">
    <w:name w:val="Tabelle Zchn"/>
    <w:basedOn w:val="Absatz-Standardschriftart"/>
    <w:link w:val="Tabelle"/>
    <w:rsid w:val="00F57816"/>
    <w:rPr>
      <w:b/>
      <w:sz w:val="28"/>
      <w:szCs w:val="28"/>
    </w:rPr>
  </w:style>
  <w:style w:type="paragraph" w:styleId="Funotentext">
    <w:name w:val="footnote text"/>
    <w:basedOn w:val="Standard"/>
    <w:link w:val="FunotentextZchn"/>
    <w:uiPriority w:val="99"/>
    <w:semiHidden/>
    <w:unhideWhenUsed/>
    <w:rsid w:val="00A1275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1275C"/>
    <w:rPr>
      <w:sz w:val="20"/>
      <w:szCs w:val="20"/>
    </w:rPr>
  </w:style>
  <w:style w:type="character" w:styleId="Funotenzeichen">
    <w:name w:val="footnote reference"/>
    <w:basedOn w:val="Absatz-Standardschriftart"/>
    <w:uiPriority w:val="99"/>
    <w:semiHidden/>
    <w:unhideWhenUsed/>
    <w:rsid w:val="00A1275C"/>
    <w:rPr>
      <w:vertAlign w:val="superscript"/>
    </w:rPr>
  </w:style>
  <w:style w:type="character" w:customStyle="1" w:styleId="eop">
    <w:name w:val="eop"/>
    <w:basedOn w:val="Absatz-Standardschriftart"/>
    <w:rsid w:val="00A1275C"/>
  </w:style>
  <w:style w:type="character" w:customStyle="1" w:styleId="berschrift3Zchn">
    <w:name w:val="Überschrift 3 Zchn"/>
    <w:basedOn w:val="Absatz-Standardschriftart"/>
    <w:link w:val="berschrift3"/>
    <w:uiPriority w:val="9"/>
    <w:rsid w:val="007A3F1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6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820</Words>
  <Characters>5170</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Garbe</dc:creator>
  <cp:keywords/>
  <dc:description/>
  <cp:lastModifiedBy>Christine Garbe</cp:lastModifiedBy>
  <cp:revision>14</cp:revision>
  <dcterms:created xsi:type="dcterms:W3CDTF">2022-09-12T17:35:00Z</dcterms:created>
  <dcterms:modified xsi:type="dcterms:W3CDTF">2022-10-27T20:15:00Z</dcterms:modified>
</cp:coreProperties>
</file>