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1A9D8214" w14:textId="4C421EC6" w:rsidR="009027BC" w:rsidRPr="005C53E9" w:rsidRDefault="009027BC" w:rsidP="009027BC">
      <w:pPr>
        <w:pStyle w:val="Titel"/>
      </w:pPr>
      <w:r>
        <w:rPr>
          <w:rFonts w:asciiTheme="minorHAnsi" w:hAnsiTheme="minorHAnsi"/>
          <w:bCs/>
        </w:rPr>
        <w:t>BaCuLit M</w:t>
      </w:r>
      <w:r>
        <w:rPr>
          <w:rFonts w:asciiTheme="minorHAnsi" w:hAnsiTheme="minorHAnsi"/>
          <w:bCs/>
        </w:rPr>
        <w:t>6</w:t>
      </w:r>
      <w:r>
        <w:rPr>
          <w:rFonts w:asciiTheme="minorHAnsi" w:hAnsiTheme="minorHAnsi"/>
          <w:bCs/>
        </w:rPr>
        <w:t>_2 AB1</w:t>
      </w:r>
      <w:r w:rsidRPr="009C4983">
        <w:t xml:space="preserve">: </w:t>
      </w:r>
      <w:r>
        <w:t>Strategievermittlung</w:t>
      </w:r>
    </w:p>
    <w:p w14:paraId="2793FA15" w14:textId="77777777" w:rsidR="009027BC" w:rsidRPr="00913132" w:rsidRDefault="009027BC" w:rsidP="009027BC">
      <w:pPr>
        <w:pStyle w:val="berschrift1"/>
      </w:pPr>
      <w:r w:rsidRPr="00913132">
        <w:t>Aufgabe:</w:t>
      </w:r>
    </w:p>
    <w:p w14:paraId="72EDAFAC" w14:textId="77777777" w:rsidR="009027BC" w:rsidRDefault="009027BC" w:rsidP="009027BC">
      <w:pPr>
        <w:pStyle w:val="berschrift1"/>
        <w:numPr>
          <w:ilvl w:val="0"/>
          <w:numId w:val="26"/>
        </w:numPr>
        <w:tabs>
          <w:tab w:val="clear" w:pos="720"/>
          <w:tab w:val="num" w:pos="360"/>
        </w:tabs>
        <w:ind w:left="0" w:firstLine="0"/>
        <w:jc w:val="left"/>
        <w:rPr>
          <w:b w:val="0"/>
          <w:sz w:val="22"/>
          <w:szCs w:val="22"/>
        </w:rPr>
      </w:pPr>
      <w:r w:rsidRPr="00926A3F">
        <w:rPr>
          <w:b w:val="0"/>
          <w:sz w:val="22"/>
          <w:szCs w:val="22"/>
        </w:rPr>
        <w:t>Lesen Sie bitte</w:t>
      </w:r>
      <w:r>
        <w:rPr>
          <w:b w:val="0"/>
          <w:sz w:val="22"/>
          <w:szCs w:val="22"/>
        </w:rPr>
        <w:t xml:space="preserve"> den nachfolgenden Text und beantworten Sie die Frage wie xxxxxx</w:t>
      </w:r>
      <w:r w:rsidRPr="003609AA">
        <w:rPr>
          <w:b w:val="0"/>
          <w:sz w:val="22"/>
          <w:szCs w:val="22"/>
        </w:rPr>
        <w:t xml:space="preserve">? </w:t>
      </w:r>
      <w:r w:rsidRPr="00926A3F">
        <w:rPr>
          <w:b w:val="0"/>
          <w:sz w:val="22"/>
          <w:szCs w:val="22"/>
        </w:rPr>
        <w:t xml:space="preserve"> </w:t>
      </w:r>
    </w:p>
    <w:p w14:paraId="23795498" w14:textId="77777777" w:rsidR="009027BC" w:rsidRDefault="009027BC" w:rsidP="009027BC"/>
    <w:p w14:paraId="00AF0F7C" w14:textId="77777777" w:rsidR="009027BC" w:rsidRDefault="009027BC" w:rsidP="009027BC">
      <w:pPr>
        <w:pStyle w:val="berschrift2"/>
      </w:pPr>
      <w:bookmarkStart w:id="1" w:name="_Toc481227954"/>
      <w:bookmarkStart w:id="2" w:name="_Toc481511942"/>
      <w:r>
        <w:t>Phasen der</w:t>
      </w:r>
      <w:r w:rsidRPr="00C16C24">
        <w:t xml:space="preserve"> S</w:t>
      </w:r>
      <w:r>
        <w:t>trategievermittlung</w:t>
      </w:r>
      <w:bookmarkEnd w:id="1"/>
      <w:r>
        <w:t xml:space="preserve"> im Unterricht</w:t>
      </w:r>
      <w:bookmarkEnd w:id="2"/>
    </w:p>
    <w:p w14:paraId="56F1A75E" w14:textId="77777777" w:rsidR="009027BC" w:rsidRPr="00C16C24" w:rsidRDefault="009027BC" w:rsidP="009027BC">
      <w:pPr>
        <w:spacing w:line="276" w:lineRule="auto"/>
      </w:pPr>
      <w:r w:rsidRPr="00C16C24">
        <w:t>Bei diesem Prinzip der expliziten Vermittlung</w:t>
      </w:r>
      <w:r>
        <w:t xml:space="preserve"> (Philipp 2015: 70-75) liegt die Verantwortung für die richtige Anwendung der Lese-/Schreibstrategien zunächst bei der Lehrkraft. Der Grad der übernommenen Verantwortung der Lernenden steigt dabei allmählich bis hin zur völligen Selbständigkeit und Selbstregulation. Der Transfer der Strategie auf neue Aufgaben erfolgt dabei erst, wenn die Selbständigkeit erreicht ist. </w:t>
      </w:r>
    </w:p>
    <w:p w14:paraId="0FAE9825" w14:textId="77777777" w:rsidR="009027BC" w:rsidRPr="00913132" w:rsidRDefault="009027BC" w:rsidP="009027BC"/>
    <w:p w14:paraId="380F7DF6" w14:textId="77777777" w:rsidR="009027BC" w:rsidRDefault="009027BC" w:rsidP="009027BC">
      <w:pPr>
        <w:pStyle w:val="Default"/>
        <w:spacing w:after="120" w:line="276" w:lineRule="auto"/>
        <w:ind w:left="-426"/>
        <w:rPr>
          <w:rFonts w:asciiTheme="minorHAnsi" w:hAnsiTheme="minorHAnsi" w:cstheme="minorHAnsi"/>
        </w:rPr>
      </w:pPr>
      <w:r>
        <w:rPr>
          <w:noProof/>
          <w:lang w:eastAsia="de-DE"/>
        </w:rPr>
        <w:drawing>
          <wp:inline distT="0" distB="0" distL="0" distR="0" wp14:anchorId="5748B52E" wp14:editId="1B5B7D01">
            <wp:extent cx="6336922" cy="2698115"/>
            <wp:effectExtent l="0" t="0" r="6985" b="6985"/>
            <wp:docPr id="8" name="Grafik 8" descr="Phasen Stragegievermittlung Engl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sen Stragegievermittlung Englis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3852" cy="2705323"/>
                    </a:xfrm>
                    <a:prstGeom prst="rect">
                      <a:avLst/>
                    </a:prstGeom>
                    <a:noFill/>
                    <a:ln>
                      <a:noFill/>
                    </a:ln>
                  </pic:spPr>
                </pic:pic>
              </a:graphicData>
            </a:graphic>
          </wp:inline>
        </w:drawing>
      </w:r>
    </w:p>
    <w:p w14:paraId="45601AE3" w14:textId="77777777" w:rsidR="009027BC" w:rsidRPr="00CC0717" w:rsidRDefault="009027BC" w:rsidP="009027BC">
      <w:pPr>
        <w:pStyle w:val="Default"/>
        <w:numPr>
          <w:ilvl w:val="0"/>
          <w:numId w:val="26"/>
        </w:numPr>
        <w:spacing w:after="120" w:line="276" w:lineRule="auto"/>
        <w:rPr>
          <w:rFonts w:cstheme="minorHAnsi"/>
        </w:rPr>
      </w:pPr>
      <w:r w:rsidRPr="00CC0717">
        <w:rPr>
          <w:rFonts w:cstheme="minorHAnsi"/>
          <w:b/>
          <w:bCs/>
        </w:rPr>
        <w:t>Hintergrundwissen</w:t>
      </w:r>
      <w:r w:rsidRPr="00CC0717">
        <w:rPr>
          <w:rFonts w:cstheme="minorHAnsi"/>
        </w:rPr>
        <w:t>.  Exakte Beschreibung der Strategie</w:t>
      </w:r>
      <w:r>
        <w:rPr>
          <w:rFonts w:cstheme="minorHAnsi"/>
        </w:rPr>
        <w:t xml:space="preserve"> durch die Lehrkraft</w:t>
      </w:r>
      <w:r w:rsidRPr="00CC0717">
        <w:rPr>
          <w:rFonts w:cstheme="minorHAnsi"/>
        </w:rPr>
        <w:t xml:space="preserve">, das Wissen wie man die Strategie anwendet und das Wissen, wann man die Strategie nutzt oder auch wann eine Nutzung nicht sinnvoll erscheint. </w:t>
      </w:r>
    </w:p>
    <w:p w14:paraId="12F44C1C" w14:textId="77777777" w:rsidR="009027BC" w:rsidRPr="00CC0717" w:rsidRDefault="009027BC" w:rsidP="009027BC">
      <w:pPr>
        <w:pStyle w:val="Default"/>
        <w:numPr>
          <w:ilvl w:val="0"/>
          <w:numId w:val="26"/>
        </w:numPr>
        <w:spacing w:after="120" w:line="276" w:lineRule="auto"/>
        <w:rPr>
          <w:rFonts w:cstheme="minorHAnsi"/>
        </w:rPr>
      </w:pPr>
      <w:r w:rsidRPr="00CC0717">
        <w:rPr>
          <w:rFonts w:cstheme="minorHAnsi"/>
          <w:b/>
          <w:bCs/>
        </w:rPr>
        <w:t>Modellieren</w:t>
      </w:r>
      <w:r w:rsidRPr="00CC0717">
        <w:rPr>
          <w:rFonts w:cstheme="minorHAnsi"/>
        </w:rPr>
        <w:t xml:space="preserve">.  Demonstrierung Strategieanwendung unter Beobachtung der Lernenden. Das Vorgehen wird konkret dargestellt, dabei ist es wichtig, dass auch mentale Prozesse hinreichend verbalisiert werden. </w:t>
      </w:r>
    </w:p>
    <w:p w14:paraId="41189940" w14:textId="77777777" w:rsidR="009027BC" w:rsidRPr="00CC0717" w:rsidRDefault="009027BC" w:rsidP="009027BC">
      <w:pPr>
        <w:pStyle w:val="Default"/>
        <w:numPr>
          <w:ilvl w:val="0"/>
          <w:numId w:val="26"/>
        </w:numPr>
        <w:spacing w:after="120" w:line="276" w:lineRule="auto"/>
        <w:rPr>
          <w:rFonts w:cstheme="minorHAnsi"/>
        </w:rPr>
      </w:pPr>
      <w:r>
        <w:rPr>
          <w:rFonts w:cstheme="minorHAnsi"/>
          <w:b/>
          <w:bCs/>
        </w:rPr>
        <w:t>Memorieren</w:t>
      </w:r>
      <w:r w:rsidRPr="00CC0717">
        <w:rPr>
          <w:rFonts w:cstheme="minorHAnsi"/>
        </w:rPr>
        <w:t xml:space="preserve">.  Strategieschritte verinnerlichen und handlungsfähig werden. </w:t>
      </w:r>
      <w:r w:rsidRPr="00CC0717">
        <w:rPr>
          <w:rFonts w:cstheme="minorHAnsi"/>
          <w:i/>
          <w:iCs/>
        </w:rPr>
        <w:t>Scaffolding</w:t>
      </w:r>
      <w:r w:rsidRPr="00CC0717">
        <w:rPr>
          <w:rFonts w:cstheme="minorHAnsi"/>
        </w:rPr>
        <w:t>-Maßnahmen, wie z.B. vorgegebene Protokollstrukturen oder Lückentexte, helfen ungeübten Lernenden beim Memorieren. Lehrkraft und Lernende arbeiten zusammen.</w:t>
      </w:r>
    </w:p>
    <w:p w14:paraId="67BC063D" w14:textId="77777777" w:rsidR="009027BC" w:rsidRPr="00CC0717" w:rsidRDefault="009027BC" w:rsidP="009027BC">
      <w:pPr>
        <w:pStyle w:val="Default"/>
        <w:numPr>
          <w:ilvl w:val="0"/>
          <w:numId w:val="26"/>
        </w:numPr>
        <w:spacing w:after="120" w:line="276" w:lineRule="auto"/>
        <w:rPr>
          <w:rFonts w:cstheme="minorHAnsi"/>
        </w:rPr>
      </w:pPr>
      <w:r w:rsidRPr="00CC0717">
        <w:rPr>
          <w:rFonts w:cstheme="minorHAnsi"/>
          <w:b/>
          <w:bCs/>
        </w:rPr>
        <w:lastRenderedPageBreak/>
        <w:t>Angeleitetes und kooperatives Üben</w:t>
      </w:r>
      <w:r w:rsidRPr="00CC0717">
        <w:rPr>
          <w:rFonts w:cstheme="minorHAnsi"/>
        </w:rPr>
        <w:t>. Lernende wenden mit angemessenen Aufgaben (</w:t>
      </w:r>
      <w:r w:rsidRPr="00CC0717">
        <w:rPr>
          <w:rFonts w:cstheme="minorHAnsi"/>
          <w:i/>
          <w:iCs/>
        </w:rPr>
        <w:t>Vgl. Wygotski: Zone der nächsten Entwicklung</w:t>
      </w:r>
      <w:r w:rsidRPr="00CC0717">
        <w:rPr>
          <w:rFonts w:cstheme="minorHAnsi"/>
        </w:rPr>
        <w:t xml:space="preserve">) die Strategieschritte an. Unterstützung temporär durch Lehrkraft. </w:t>
      </w:r>
    </w:p>
    <w:p w14:paraId="334831C5" w14:textId="77777777" w:rsidR="009027BC" w:rsidRDefault="009027BC" w:rsidP="009027BC">
      <w:pPr>
        <w:pStyle w:val="Default"/>
        <w:numPr>
          <w:ilvl w:val="0"/>
          <w:numId w:val="26"/>
        </w:numPr>
        <w:spacing w:after="120" w:line="276" w:lineRule="auto"/>
        <w:rPr>
          <w:rFonts w:asciiTheme="minorHAnsi" w:hAnsiTheme="minorHAnsi" w:cstheme="minorHAnsi"/>
        </w:rPr>
      </w:pPr>
      <w:r w:rsidRPr="00CC0717">
        <w:rPr>
          <w:rFonts w:cstheme="minorHAnsi"/>
          <w:b/>
          <w:bCs/>
        </w:rPr>
        <w:t>Unabhängiges Üben/Lernen</w:t>
      </w:r>
      <w:r w:rsidRPr="00CC0717">
        <w:rPr>
          <w:rFonts w:cstheme="minorHAnsi"/>
        </w:rPr>
        <w:t xml:space="preserve">. Lernenden wenden Strategie ohne Unterstützung an, Lehrkraft beobachtet. Anwendung und Transfer stehen im Mittelgrund, dabei ist es wichtig, dass die Lernenden darüber sprechen, wie ihnen die Strategie geholfen hat, Texte besser zu </w:t>
      </w:r>
      <w:r w:rsidRPr="00CC0717">
        <w:rPr>
          <w:rFonts w:asciiTheme="minorHAnsi" w:hAnsiTheme="minorHAnsi" w:cstheme="minorHAnsi"/>
        </w:rPr>
        <w:t>verstehen, bzw. bessere Texte zu verfassen.</w:t>
      </w:r>
    </w:p>
    <w:p w14:paraId="73AA23B6" w14:textId="77777777" w:rsidR="009027BC" w:rsidRPr="003A4D15" w:rsidRDefault="009027BC" w:rsidP="009027BC">
      <w:pPr>
        <w:pStyle w:val="Default"/>
        <w:spacing w:after="120" w:line="276" w:lineRule="auto"/>
        <w:ind w:left="360"/>
        <w:rPr>
          <w:rFonts w:asciiTheme="minorHAnsi" w:hAnsiTheme="minorHAnsi" w:cstheme="minorHAnsi"/>
        </w:rPr>
      </w:pPr>
      <w:r>
        <w:rPr>
          <w:b/>
          <w:sz w:val="28"/>
          <w:szCs w:val="28"/>
        </w:rPr>
        <w:t>D</w:t>
      </w:r>
      <w:r w:rsidRPr="003A4D15">
        <w:rPr>
          <w:b/>
          <w:sz w:val="28"/>
          <w:szCs w:val="28"/>
        </w:rPr>
        <w:t>okumentation Strategieeinsatz</w:t>
      </w:r>
    </w:p>
    <w:p w14:paraId="6128F274" w14:textId="77777777" w:rsidR="009027BC" w:rsidRDefault="009027BC" w:rsidP="009027BC">
      <w:pPr>
        <w:pStyle w:val="Listenabsatz"/>
      </w:pPr>
      <w:r>
        <w:t xml:space="preserve">Der </w:t>
      </w:r>
      <w:r w:rsidRPr="003A4D15">
        <w:rPr>
          <w:highlight w:val="yellow"/>
        </w:rPr>
        <w:t>gelb hinterlegte Beispieltext</w:t>
      </w:r>
      <w:r>
        <w:t xml:space="preserve"> ist durch eigene Angaben zu ersetzen.</w:t>
      </w:r>
    </w:p>
    <w:p w14:paraId="7AEA375C" w14:textId="77777777" w:rsidR="009027BC" w:rsidRDefault="009027BC" w:rsidP="009027BC">
      <w:pPr>
        <w:pStyle w:val="Listenabsatz"/>
      </w:pPr>
      <w:r>
        <w:t xml:space="preserve">Eingesetzte Schreibstrategie: </w:t>
      </w:r>
      <w:r w:rsidRPr="003A4D15">
        <w:rPr>
          <w:highlight w:val="yellow"/>
        </w:rPr>
        <w:t>Create and Answer Written Questions About a Text</w:t>
      </w:r>
    </w:p>
    <w:p w14:paraId="065AC1DB" w14:textId="77777777" w:rsidR="009027BC" w:rsidRDefault="009027BC" w:rsidP="009027BC">
      <w:pPr>
        <w:pStyle w:val="Listenabsatz"/>
      </w:pPr>
      <w:r>
        <w:t xml:space="preserve">Verwendet in Klasse:  </w:t>
      </w:r>
      <w:r w:rsidRPr="003A4D15">
        <w:rPr>
          <w:highlight w:val="yellow"/>
        </w:rPr>
        <w:t>9. Klasse Realschule Plus</w:t>
      </w:r>
    </w:p>
    <w:p w14:paraId="62CBA4BB" w14:textId="77777777" w:rsidR="009027BC" w:rsidRDefault="009027BC" w:rsidP="009027BC">
      <w:pPr>
        <w:pStyle w:val="Listenabsatz"/>
      </w:pPr>
      <w:r>
        <w:t xml:space="preserve">Fach: </w:t>
      </w:r>
      <w:r w:rsidRPr="003A4D15">
        <w:rPr>
          <w:highlight w:val="yellow"/>
        </w:rPr>
        <w:t>Sozialkunde</w:t>
      </w:r>
    </w:p>
    <w:tbl>
      <w:tblPr>
        <w:tblStyle w:val="Tabellenraster"/>
        <w:tblW w:w="10207" w:type="dxa"/>
        <w:tblLook w:val="04A0" w:firstRow="1" w:lastRow="0" w:firstColumn="1" w:lastColumn="0" w:noHBand="0" w:noVBand="1"/>
      </w:tblPr>
      <w:tblGrid>
        <w:gridCol w:w="1985"/>
        <w:gridCol w:w="2011"/>
        <w:gridCol w:w="1980"/>
        <w:gridCol w:w="2115"/>
        <w:gridCol w:w="2116"/>
      </w:tblGrid>
      <w:tr w:rsidR="009027BC" w:rsidRPr="001E2972" w14:paraId="785EFBF7" w14:textId="77777777" w:rsidTr="005323AA">
        <w:tc>
          <w:tcPr>
            <w:tcW w:w="1985" w:type="dxa"/>
          </w:tcPr>
          <w:p w14:paraId="51F54F01" w14:textId="1FA36EFE" w:rsidR="009027BC" w:rsidRPr="001E2972" w:rsidRDefault="009027BC" w:rsidP="009027BC">
            <w:pPr>
              <w:rPr>
                <w:sz w:val="20"/>
                <w:szCs w:val="20"/>
              </w:rPr>
            </w:pPr>
            <w:r w:rsidRPr="001E2972">
              <w:rPr>
                <w:sz w:val="20"/>
                <w:szCs w:val="20"/>
              </w:rPr>
              <w:t>Phase der Strategievermittlung</w:t>
            </w:r>
          </w:p>
        </w:tc>
        <w:tc>
          <w:tcPr>
            <w:tcW w:w="3991" w:type="dxa"/>
            <w:gridSpan w:val="2"/>
          </w:tcPr>
          <w:p w14:paraId="4AE4B513" w14:textId="77777777" w:rsidR="009027BC" w:rsidRPr="001C3C9E" w:rsidRDefault="009027BC" w:rsidP="005323AA">
            <w:pPr>
              <w:rPr>
                <w:sz w:val="20"/>
                <w:szCs w:val="20"/>
              </w:rPr>
            </w:pPr>
            <w:r>
              <w:rPr>
                <w:sz w:val="20"/>
                <w:szCs w:val="20"/>
              </w:rPr>
              <w:t xml:space="preserve">Erster </w:t>
            </w:r>
            <w:r w:rsidRPr="001C3C9E">
              <w:rPr>
                <w:sz w:val="20"/>
                <w:szCs w:val="20"/>
              </w:rPr>
              <w:t>Einsatz im Unterricht</w:t>
            </w:r>
          </w:p>
        </w:tc>
        <w:tc>
          <w:tcPr>
            <w:tcW w:w="4231" w:type="dxa"/>
            <w:gridSpan w:val="2"/>
          </w:tcPr>
          <w:p w14:paraId="43038054" w14:textId="77777777" w:rsidR="009027BC" w:rsidRPr="001C3C9E" w:rsidRDefault="009027BC" w:rsidP="005323AA">
            <w:pPr>
              <w:rPr>
                <w:sz w:val="20"/>
                <w:szCs w:val="20"/>
              </w:rPr>
            </w:pPr>
            <w:r>
              <w:rPr>
                <w:sz w:val="20"/>
                <w:szCs w:val="20"/>
              </w:rPr>
              <w:t xml:space="preserve">Zweiter </w:t>
            </w:r>
            <w:r w:rsidRPr="001C3C9E">
              <w:rPr>
                <w:sz w:val="20"/>
                <w:szCs w:val="20"/>
              </w:rPr>
              <w:t>Einsatz im Unterricht</w:t>
            </w:r>
          </w:p>
        </w:tc>
      </w:tr>
      <w:tr w:rsidR="009027BC" w:rsidRPr="001E2972" w14:paraId="0326F0A6" w14:textId="77777777" w:rsidTr="005323AA">
        <w:tc>
          <w:tcPr>
            <w:tcW w:w="1985" w:type="dxa"/>
          </w:tcPr>
          <w:p w14:paraId="6EF530AF" w14:textId="77777777" w:rsidR="009027BC" w:rsidRPr="001E2972" w:rsidRDefault="009027BC" w:rsidP="005323AA">
            <w:pPr>
              <w:rPr>
                <w:sz w:val="20"/>
                <w:szCs w:val="20"/>
              </w:rPr>
            </w:pPr>
          </w:p>
        </w:tc>
        <w:tc>
          <w:tcPr>
            <w:tcW w:w="2011" w:type="dxa"/>
            <w:shd w:val="clear" w:color="auto" w:fill="DBE5F1" w:themeFill="accent1" w:themeFillTint="33"/>
          </w:tcPr>
          <w:p w14:paraId="4F599073" w14:textId="77777777" w:rsidR="009027BC" w:rsidRPr="001E2972" w:rsidRDefault="009027BC" w:rsidP="005323AA">
            <w:pPr>
              <w:rPr>
                <w:sz w:val="20"/>
                <w:szCs w:val="20"/>
              </w:rPr>
            </w:pPr>
            <w:r>
              <w:rPr>
                <w:sz w:val="20"/>
                <w:szCs w:val="20"/>
              </w:rPr>
              <w:t>Activities Teacher</w:t>
            </w:r>
          </w:p>
        </w:tc>
        <w:tc>
          <w:tcPr>
            <w:tcW w:w="1980" w:type="dxa"/>
            <w:shd w:val="clear" w:color="auto" w:fill="F2DBDB" w:themeFill="accent2" w:themeFillTint="33"/>
          </w:tcPr>
          <w:p w14:paraId="3A0774C1" w14:textId="77777777" w:rsidR="009027BC" w:rsidRPr="001E2972" w:rsidRDefault="009027BC" w:rsidP="005323AA">
            <w:pPr>
              <w:rPr>
                <w:sz w:val="20"/>
                <w:szCs w:val="20"/>
              </w:rPr>
            </w:pPr>
            <w:r>
              <w:rPr>
                <w:sz w:val="20"/>
                <w:szCs w:val="20"/>
              </w:rPr>
              <w:t>Activities Students</w:t>
            </w:r>
          </w:p>
        </w:tc>
        <w:tc>
          <w:tcPr>
            <w:tcW w:w="2115" w:type="dxa"/>
            <w:shd w:val="clear" w:color="auto" w:fill="DBE5F1" w:themeFill="accent1" w:themeFillTint="33"/>
          </w:tcPr>
          <w:p w14:paraId="4B16D5F2" w14:textId="77777777" w:rsidR="009027BC" w:rsidRPr="001E2972" w:rsidRDefault="009027BC" w:rsidP="005323AA">
            <w:pPr>
              <w:rPr>
                <w:sz w:val="20"/>
                <w:szCs w:val="20"/>
              </w:rPr>
            </w:pPr>
            <w:r>
              <w:rPr>
                <w:sz w:val="20"/>
                <w:szCs w:val="20"/>
              </w:rPr>
              <w:t>Activities Teacher</w:t>
            </w:r>
          </w:p>
        </w:tc>
        <w:tc>
          <w:tcPr>
            <w:tcW w:w="2116" w:type="dxa"/>
            <w:shd w:val="clear" w:color="auto" w:fill="F2DBDB" w:themeFill="accent2" w:themeFillTint="33"/>
          </w:tcPr>
          <w:p w14:paraId="461A89D8" w14:textId="77777777" w:rsidR="009027BC" w:rsidRPr="001E2972" w:rsidRDefault="009027BC" w:rsidP="005323AA">
            <w:pPr>
              <w:rPr>
                <w:sz w:val="20"/>
                <w:szCs w:val="20"/>
              </w:rPr>
            </w:pPr>
            <w:r>
              <w:rPr>
                <w:sz w:val="20"/>
                <w:szCs w:val="20"/>
              </w:rPr>
              <w:t>Activities Students</w:t>
            </w:r>
          </w:p>
        </w:tc>
      </w:tr>
      <w:tr w:rsidR="009027BC" w:rsidRPr="001E2972" w14:paraId="708A575F" w14:textId="77777777" w:rsidTr="005323AA">
        <w:tc>
          <w:tcPr>
            <w:tcW w:w="1985" w:type="dxa"/>
          </w:tcPr>
          <w:p w14:paraId="07EAC73B" w14:textId="77777777" w:rsidR="009027BC" w:rsidRPr="001E2972" w:rsidRDefault="009027BC" w:rsidP="009027BC">
            <w:pPr>
              <w:spacing w:line="276" w:lineRule="auto"/>
              <w:rPr>
                <w:sz w:val="20"/>
                <w:szCs w:val="20"/>
              </w:rPr>
            </w:pPr>
            <w:r>
              <w:rPr>
                <w:sz w:val="20"/>
                <w:szCs w:val="20"/>
              </w:rPr>
              <w:t>Background Knowledge</w:t>
            </w:r>
          </w:p>
        </w:tc>
        <w:tc>
          <w:tcPr>
            <w:tcW w:w="2011" w:type="dxa"/>
            <w:shd w:val="clear" w:color="auto" w:fill="DBE5F1" w:themeFill="accent1" w:themeFillTint="33"/>
          </w:tcPr>
          <w:p w14:paraId="54E9DB61" w14:textId="77777777" w:rsidR="009027BC" w:rsidRPr="001E2972" w:rsidRDefault="009027BC" w:rsidP="009027BC">
            <w:pPr>
              <w:spacing w:line="276" w:lineRule="auto"/>
              <w:rPr>
                <w:sz w:val="20"/>
                <w:szCs w:val="20"/>
              </w:rPr>
            </w:pPr>
            <w:r w:rsidRPr="00A32541">
              <w:rPr>
                <w:sz w:val="20"/>
                <w:szCs w:val="20"/>
                <w:highlight w:val="yellow"/>
              </w:rPr>
              <w:t>Sinn, Zweck und Einsatzmöglichkeiten der Strategie erläutern.</w:t>
            </w:r>
          </w:p>
        </w:tc>
        <w:tc>
          <w:tcPr>
            <w:tcW w:w="1980" w:type="dxa"/>
            <w:shd w:val="clear" w:color="auto" w:fill="F2DBDB" w:themeFill="accent2" w:themeFillTint="33"/>
          </w:tcPr>
          <w:p w14:paraId="2A920ADF" w14:textId="77777777" w:rsidR="009027BC" w:rsidRPr="00A32541" w:rsidRDefault="009027BC" w:rsidP="009027BC">
            <w:pPr>
              <w:spacing w:line="276" w:lineRule="auto"/>
              <w:rPr>
                <w:sz w:val="20"/>
                <w:szCs w:val="20"/>
                <w:highlight w:val="yellow"/>
              </w:rPr>
            </w:pPr>
            <w:r w:rsidRPr="00A32541">
              <w:rPr>
                <w:sz w:val="20"/>
                <w:szCs w:val="20"/>
                <w:highlight w:val="yellow"/>
              </w:rPr>
              <w:t>Zuhören, Fragen stellen</w:t>
            </w:r>
          </w:p>
        </w:tc>
        <w:tc>
          <w:tcPr>
            <w:tcW w:w="2115" w:type="dxa"/>
            <w:shd w:val="clear" w:color="auto" w:fill="DBE5F1" w:themeFill="accent1" w:themeFillTint="33"/>
          </w:tcPr>
          <w:p w14:paraId="3FB7D41E" w14:textId="77777777" w:rsidR="009027BC" w:rsidRPr="00A32541" w:rsidRDefault="009027BC" w:rsidP="009027BC">
            <w:pPr>
              <w:spacing w:line="276" w:lineRule="auto"/>
              <w:rPr>
                <w:sz w:val="20"/>
                <w:szCs w:val="20"/>
                <w:highlight w:val="yellow"/>
              </w:rPr>
            </w:pPr>
            <w:r w:rsidRPr="00A32541">
              <w:rPr>
                <w:sz w:val="20"/>
                <w:szCs w:val="20"/>
                <w:highlight w:val="yellow"/>
              </w:rPr>
              <w:t>Strategiewissen aktivieren, Strategietheorie wiederholen, Unklarheiten und Knackpunkte klären.</w:t>
            </w:r>
          </w:p>
        </w:tc>
        <w:tc>
          <w:tcPr>
            <w:tcW w:w="2116" w:type="dxa"/>
            <w:shd w:val="clear" w:color="auto" w:fill="F2DBDB" w:themeFill="accent2" w:themeFillTint="33"/>
          </w:tcPr>
          <w:p w14:paraId="0A516B34" w14:textId="77777777" w:rsidR="009027BC" w:rsidRPr="00A32541" w:rsidRDefault="009027BC" w:rsidP="009027BC">
            <w:pPr>
              <w:spacing w:line="276" w:lineRule="auto"/>
              <w:rPr>
                <w:sz w:val="20"/>
                <w:szCs w:val="20"/>
                <w:highlight w:val="yellow"/>
              </w:rPr>
            </w:pPr>
            <w:r w:rsidRPr="00A32541">
              <w:rPr>
                <w:sz w:val="20"/>
                <w:szCs w:val="20"/>
                <w:highlight w:val="yellow"/>
              </w:rPr>
              <w:t>Strategiewissen wiederg</w:t>
            </w:r>
            <w:r>
              <w:rPr>
                <w:sz w:val="20"/>
                <w:szCs w:val="20"/>
                <w:highlight w:val="yellow"/>
              </w:rPr>
              <w:t>eben, Unklarheiten klären, Erfahrungen mitteilen.</w:t>
            </w:r>
          </w:p>
        </w:tc>
      </w:tr>
      <w:tr w:rsidR="009027BC" w:rsidRPr="001E2972" w14:paraId="15D108AE" w14:textId="77777777" w:rsidTr="005323AA">
        <w:tc>
          <w:tcPr>
            <w:tcW w:w="1985" w:type="dxa"/>
          </w:tcPr>
          <w:p w14:paraId="0646BB2C" w14:textId="77777777" w:rsidR="009027BC" w:rsidRPr="001E2972" w:rsidRDefault="009027BC" w:rsidP="009027BC">
            <w:pPr>
              <w:spacing w:line="276" w:lineRule="auto"/>
              <w:rPr>
                <w:sz w:val="20"/>
                <w:szCs w:val="20"/>
              </w:rPr>
            </w:pPr>
            <w:r>
              <w:rPr>
                <w:sz w:val="20"/>
                <w:szCs w:val="20"/>
              </w:rPr>
              <w:t>Modelling</w:t>
            </w:r>
          </w:p>
        </w:tc>
        <w:tc>
          <w:tcPr>
            <w:tcW w:w="2011" w:type="dxa"/>
            <w:shd w:val="clear" w:color="auto" w:fill="DBE5F1" w:themeFill="accent1" w:themeFillTint="33"/>
          </w:tcPr>
          <w:p w14:paraId="62872A93" w14:textId="77777777" w:rsidR="009027BC" w:rsidRPr="001E2972" w:rsidRDefault="009027BC" w:rsidP="009027BC">
            <w:pPr>
              <w:spacing w:line="276" w:lineRule="auto"/>
              <w:rPr>
                <w:sz w:val="20"/>
                <w:szCs w:val="20"/>
              </w:rPr>
            </w:pPr>
            <w:r w:rsidRPr="00A32541">
              <w:rPr>
                <w:sz w:val="20"/>
                <w:szCs w:val="20"/>
                <w:highlight w:val="yellow"/>
              </w:rPr>
              <w:t>Strategie durch lautes Denken vormachen</w:t>
            </w:r>
          </w:p>
        </w:tc>
        <w:tc>
          <w:tcPr>
            <w:tcW w:w="1980" w:type="dxa"/>
            <w:shd w:val="clear" w:color="auto" w:fill="F2DBDB" w:themeFill="accent2" w:themeFillTint="33"/>
          </w:tcPr>
          <w:p w14:paraId="76792DF4" w14:textId="77777777" w:rsidR="009027BC" w:rsidRPr="00A32541" w:rsidRDefault="009027BC" w:rsidP="009027BC">
            <w:pPr>
              <w:spacing w:line="276" w:lineRule="auto"/>
              <w:rPr>
                <w:sz w:val="20"/>
                <w:szCs w:val="20"/>
                <w:highlight w:val="yellow"/>
              </w:rPr>
            </w:pPr>
            <w:r w:rsidRPr="00A32541">
              <w:rPr>
                <w:sz w:val="20"/>
                <w:szCs w:val="20"/>
                <w:highlight w:val="yellow"/>
              </w:rPr>
              <w:t>Zuhören, beobachten, Fragen stellen</w:t>
            </w:r>
          </w:p>
        </w:tc>
        <w:tc>
          <w:tcPr>
            <w:tcW w:w="2115" w:type="dxa"/>
            <w:shd w:val="clear" w:color="auto" w:fill="DBE5F1" w:themeFill="accent1" w:themeFillTint="33"/>
          </w:tcPr>
          <w:p w14:paraId="21E4E0B4" w14:textId="77777777" w:rsidR="009027BC" w:rsidRPr="00A32541" w:rsidRDefault="009027BC" w:rsidP="009027BC">
            <w:pPr>
              <w:spacing w:line="276" w:lineRule="auto"/>
              <w:rPr>
                <w:sz w:val="20"/>
                <w:szCs w:val="20"/>
                <w:highlight w:val="yellow"/>
              </w:rPr>
            </w:pPr>
          </w:p>
        </w:tc>
        <w:tc>
          <w:tcPr>
            <w:tcW w:w="2116" w:type="dxa"/>
            <w:shd w:val="clear" w:color="auto" w:fill="F2DBDB" w:themeFill="accent2" w:themeFillTint="33"/>
          </w:tcPr>
          <w:p w14:paraId="648D24FE" w14:textId="77777777" w:rsidR="009027BC" w:rsidRPr="00A32541" w:rsidRDefault="009027BC" w:rsidP="009027BC">
            <w:pPr>
              <w:spacing w:line="276" w:lineRule="auto"/>
              <w:rPr>
                <w:sz w:val="20"/>
                <w:szCs w:val="20"/>
                <w:highlight w:val="yellow"/>
              </w:rPr>
            </w:pPr>
          </w:p>
        </w:tc>
      </w:tr>
      <w:tr w:rsidR="009027BC" w:rsidRPr="001E2972" w14:paraId="07323EDC" w14:textId="77777777" w:rsidTr="005323AA">
        <w:tc>
          <w:tcPr>
            <w:tcW w:w="1985" w:type="dxa"/>
          </w:tcPr>
          <w:p w14:paraId="0F46BDFA" w14:textId="77777777" w:rsidR="009027BC" w:rsidRPr="001E2972" w:rsidRDefault="009027BC" w:rsidP="009027BC">
            <w:pPr>
              <w:spacing w:line="276" w:lineRule="auto"/>
              <w:rPr>
                <w:sz w:val="20"/>
                <w:szCs w:val="20"/>
              </w:rPr>
            </w:pPr>
            <w:r>
              <w:rPr>
                <w:sz w:val="20"/>
                <w:szCs w:val="20"/>
              </w:rPr>
              <w:t>Memorise</w:t>
            </w:r>
          </w:p>
        </w:tc>
        <w:tc>
          <w:tcPr>
            <w:tcW w:w="2011" w:type="dxa"/>
            <w:shd w:val="clear" w:color="auto" w:fill="DBE5F1" w:themeFill="accent1" w:themeFillTint="33"/>
          </w:tcPr>
          <w:p w14:paraId="27F2CD3B" w14:textId="77777777" w:rsidR="009027BC" w:rsidRPr="00A32541" w:rsidRDefault="009027BC" w:rsidP="009027BC">
            <w:pPr>
              <w:spacing w:line="276" w:lineRule="auto"/>
              <w:rPr>
                <w:sz w:val="20"/>
                <w:szCs w:val="20"/>
                <w:highlight w:val="yellow"/>
              </w:rPr>
            </w:pPr>
            <w:r w:rsidRPr="00A32541">
              <w:rPr>
                <w:sz w:val="20"/>
                <w:szCs w:val="20"/>
                <w:highlight w:val="yellow"/>
              </w:rPr>
              <w:t>Protokollstrukturen bereitstellen</w:t>
            </w:r>
          </w:p>
        </w:tc>
        <w:tc>
          <w:tcPr>
            <w:tcW w:w="1980" w:type="dxa"/>
            <w:shd w:val="clear" w:color="auto" w:fill="F2DBDB" w:themeFill="accent2" w:themeFillTint="33"/>
          </w:tcPr>
          <w:p w14:paraId="28B806C2" w14:textId="77777777" w:rsidR="009027BC" w:rsidRPr="00A32541" w:rsidRDefault="009027BC" w:rsidP="009027BC">
            <w:pPr>
              <w:spacing w:line="276" w:lineRule="auto"/>
              <w:rPr>
                <w:sz w:val="20"/>
                <w:szCs w:val="20"/>
                <w:highlight w:val="yellow"/>
              </w:rPr>
            </w:pPr>
            <w:r w:rsidRPr="00A32541">
              <w:rPr>
                <w:sz w:val="20"/>
                <w:szCs w:val="20"/>
                <w:highlight w:val="yellow"/>
              </w:rPr>
              <w:t>Protokoll ausfüllen</w:t>
            </w:r>
          </w:p>
        </w:tc>
        <w:tc>
          <w:tcPr>
            <w:tcW w:w="2115" w:type="dxa"/>
            <w:shd w:val="clear" w:color="auto" w:fill="DBE5F1" w:themeFill="accent1" w:themeFillTint="33"/>
          </w:tcPr>
          <w:p w14:paraId="36E80E67" w14:textId="77777777" w:rsidR="009027BC" w:rsidRPr="00A32541" w:rsidRDefault="009027BC" w:rsidP="009027BC">
            <w:pPr>
              <w:spacing w:line="276" w:lineRule="auto"/>
              <w:rPr>
                <w:sz w:val="20"/>
                <w:szCs w:val="20"/>
                <w:highlight w:val="yellow"/>
              </w:rPr>
            </w:pPr>
          </w:p>
        </w:tc>
        <w:tc>
          <w:tcPr>
            <w:tcW w:w="2116" w:type="dxa"/>
            <w:shd w:val="clear" w:color="auto" w:fill="F2DBDB" w:themeFill="accent2" w:themeFillTint="33"/>
          </w:tcPr>
          <w:p w14:paraId="7F7D5BA8" w14:textId="77777777" w:rsidR="009027BC" w:rsidRPr="00A32541" w:rsidRDefault="009027BC" w:rsidP="009027BC">
            <w:pPr>
              <w:spacing w:line="276" w:lineRule="auto"/>
              <w:rPr>
                <w:sz w:val="20"/>
                <w:szCs w:val="20"/>
                <w:highlight w:val="yellow"/>
              </w:rPr>
            </w:pPr>
          </w:p>
        </w:tc>
      </w:tr>
      <w:tr w:rsidR="009027BC" w:rsidRPr="001E2972" w14:paraId="307A7553" w14:textId="77777777" w:rsidTr="005323AA">
        <w:tc>
          <w:tcPr>
            <w:tcW w:w="1985" w:type="dxa"/>
          </w:tcPr>
          <w:p w14:paraId="2DA23718" w14:textId="77777777" w:rsidR="009027BC" w:rsidRPr="001E2972" w:rsidRDefault="009027BC" w:rsidP="009027BC">
            <w:pPr>
              <w:spacing w:line="276" w:lineRule="auto"/>
              <w:rPr>
                <w:sz w:val="20"/>
                <w:szCs w:val="20"/>
              </w:rPr>
            </w:pPr>
            <w:r>
              <w:rPr>
                <w:sz w:val="20"/>
                <w:szCs w:val="20"/>
              </w:rPr>
              <w:t>Guided Learning</w:t>
            </w:r>
          </w:p>
        </w:tc>
        <w:tc>
          <w:tcPr>
            <w:tcW w:w="2011" w:type="dxa"/>
            <w:shd w:val="clear" w:color="auto" w:fill="DBE5F1" w:themeFill="accent1" w:themeFillTint="33"/>
          </w:tcPr>
          <w:p w14:paraId="43285DE6" w14:textId="77777777" w:rsidR="009027BC" w:rsidRPr="00A32541" w:rsidRDefault="009027BC" w:rsidP="009027BC">
            <w:pPr>
              <w:spacing w:line="276" w:lineRule="auto"/>
              <w:rPr>
                <w:sz w:val="20"/>
                <w:szCs w:val="20"/>
                <w:highlight w:val="yellow"/>
              </w:rPr>
            </w:pPr>
            <w:r w:rsidRPr="00A32541">
              <w:rPr>
                <w:sz w:val="20"/>
                <w:szCs w:val="20"/>
                <w:highlight w:val="yellow"/>
              </w:rPr>
              <w:t>Übungstext bereitstellen, Hilfestellungen geben</w:t>
            </w:r>
          </w:p>
        </w:tc>
        <w:tc>
          <w:tcPr>
            <w:tcW w:w="1980" w:type="dxa"/>
            <w:shd w:val="clear" w:color="auto" w:fill="F2DBDB" w:themeFill="accent2" w:themeFillTint="33"/>
          </w:tcPr>
          <w:p w14:paraId="7EA713A6" w14:textId="77777777" w:rsidR="009027BC" w:rsidRPr="00A32541" w:rsidRDefault="009027BC" w:rsidP="009027BC">
            <w:pPr>
              <w:spacing w:line="276" w:lineRule="auto"/>
              <w:rPr>
                <w:sz w:val="20"/>
                <w:szCs w:val="20"/>
                <w:highlight w:val="yellow"/>
              </w:rPr>
            </w:pPr>
            <w:r w:rsidRPr="00A32541">
              <w:rPr>
                <w:sz w:val="20"/>
                <w:szCs w:val="20"/>
                <w:highlight w:val="yellow"/>
              </w:rPr>
              <w:t>Strategie unter Zuhilfenahme des Strategiewissens und des Protokolls anwenden, Unklarheiten ansprechen.</w:t>
            </w:r>
          </w:p>
        </w:tc>
        <w:tc>
          <w:tcPr>
            <w:tcW w:w="2115" w:type="dxa"/>
            <w:shd w:val="clear" w:color="auto" w:fill="DBE5F1" w:themeFill="accent1" w:themeFillTint="33"/>
          </w:tcPr>
          <w:p w14:paraId="6AA9B200" w14:textId="77777777" w:rsidR="009027BC" w:rsidRPr="00A32541" w:rsidRDefault="009027BC" w:rsidP="009027BC">
            <w:pPr>
              <w:spacing w:line="276" w:lineRule="auto"/>
              <w:rPr>
                <w:sz w:val="20"/>
                <w:szCs w:val="20"/>
                <w:highlight w:val="yellow"/>
              </w:rPr>
            </w:pPr>
            <w:r w:rsidRPr="00A32541">
              <w:rPr>
                <w:sz w:val="20"/>
                <w:szCs w:val="20"/>
                <w:highlight w:val="yellow"/>
              </w:rPr>
              <w:t>Text bereitstellen, bei Bedarf Hilfestellungen anbieten</w:t>
            </w:r>
          </w:p>
        </w:tc>
        <w:tc>
          <w:tcPr>
            <w:tcW w:w="2116" w:type="dxa"/>
            <w:shd w:val="clear" w:color="auto" w:fill="F2DBDB" w:themeFill="accent2" w:themeFillTint="33"/>
          </w:tcPr>
          <w:p w14:paraId="0B1E9D05" w14:textId="77777777" w:rsidR="009027BC" w:rsidRPr="00A32541" w:rsidRDefault="009027BC" w:rsidP="009027BC">
            <w:pPr>
              <w:spacing w:line="276" w:lineRule="auto"/>
              <w:rPr>
                <w:sz w:val="20"/>
                <w:szCs w:val="20"/>
                <w:highlight w:val="yellow"/>
              </w:rPr>
            </w:pPr>
            <w:r w:rsidRPr="00A32541">
              <w:rPr>
                <w:sz w:val="20"/>
                <w:szCs w:val="20"/>
                <w:highlight w:val="yellow"/>
              </w:rPr>
              <w:t>Strategie in Einzel- oder Gruppenarbeit anwenden, Erfolg der Strategie hinterfragen.</w:t>
            </w:r>
          </w:p>
        </w:tc>
      </w:tr>
      <w:tr w:rsidR="009027BC" w:rsidRPr="001E2972" w14:paraId="7B79B718" w14:textId="77777777" w:rsidTr="005323AA">
        <w:tc>
          <w:tcPr>
            <w:tcW w:w="1985" w:type="dxa"/>
          </w:tcPr>
          <w:p w14:paraId="64F3C6F1" w14:textId="77777777" w:rsidR="009027BC" w:rsidRPr="001E2972" w:rsidRDefault="009027BC" w:rsidP="009027BC">
            <w:pPr>
              <w:spacing w:line="276" w:lineRule="auto"/>
              <w:rPr>
                <w:sz w:val="20"/>
                <w:szCs w:val="20"/>
              </w:rPr>
            </w:pPr>
            <w:r>
              <w:rPr>
                <w:sz w:val="20"/>
                <w:szCs w:val="20"/>
              </w:rPr>
              <w:t>Independent Learning</w:t>
            </w:r>
          </w:p>
        </w:tc>
        <w:tc>
          <w:tcPr>
            <w:tcW w:w="2011" w:type="dxa"/>
            <w:shd w:val="clear" w:color="auto" w:fill="DBE5F1" w:themeFill="accent1" w:themeFillTint="33"/>
          </w:tcPr>
          <w:p w14:paraId="77240AED" w14:textId="77777777" w:rsidR="009027BC" w:rsidRPr="00A32541" w:rsidRDefault="009027BC" w:rsidP="009027BC">
            <w:pPr>
              <w:spacing w:line="276" w:lineRule="auto"/>
              <w:rPr>
                <w:sz w:val="20"/>
                <w:szCs w:val="20"/>
                <w:highlight w:val="yellow"/>
              </w:rPr>
            </w:pPr>
          </w:p>
        </w:tc>
        <w:tc>
          <w:tcPr>
            <w:tcW w:w="1980" w:type="dxa"/>
            <w:shd w:val="clear" w:color="auto" w:fill="F2DBDB" w:themeFill="accent2" w:themeFillTint="33"/>
          </w:tcPr>
          <w:p w14:paraId="3CC41E35" w14:textId="77777777" w:rsidR="009027BC" w:rsidRPr="00A32541" w:rsidRDefault="009027BC" w:rsidP="009027BC">
            <w:pPr>
              <w:spacing w:line="276" w:lineRule="auto"/>
              <w:rPr>
                <w:sz w:val="20"/>
                <w:szCs w:val="20"/>
                <w:highlight w:val="yellow"/>
              </w:rPr>
            </w:pPr>
          </w:p>
        </w:tc>
        <w:tc>
          <w:tcPr>
            <w:tcW w:w="2115" w:type="dxa"/>
            <w:shd w:val="clear" w:color="auto" w:fill="DBE5F1" w:themeFill="accent1" w:themeFillTint="33"/>
          </w:tcPr>
          <w:p w14:paraId="4AC7B7B0" w14:textId="77777777" w:rsidR="009027BC" w:rsidRPr="00A32541" w:rsidRDefault="009027BC" w:rsidP="009027BC">
            <w:pPr>
              <w:spacing w:line="276" w:lineRule="auto"/>
              <w:rPr>
                <w:sz w:val="20"/>
                <w:szCs w:val="20"/>
                <w:highlight w:val="yellow"/>
              </w:rPr>
            </w:pPr>
            <w:r w:rsidRPr="00A32541">
              <w:rPr>
                <w:sz w:val="20"/>
                <w:szCs w:val="20"/>
                <w:highlight w:val="yellow"/>
              </w:rPr>
              <w:t>Lehrkraft steht auf Nachfrage oder als Feedbackgeber zur Verfügung.</w:t>
            </w:r>
          </w:p>
        </w:tc>
        <w:tc>
          <w:tcPr>
            <w:tcW w:w="2116" w:type="dxa"/>
            <w:shd w:val="clear" w:color="auto" w:fill="F2DBDB" w:themeFill="accent2" w:themeFillTint="33"/>
          </w:tcPr>
          <w:p w14:paraId="6ADEAC02" w14:textId="77777777" w:rsidR="009027BC" w:rsidRPr="00A32541" w:rsidRDefault="009027BC" w:rsidP="009027BC">
            <w:pPr>
              <w:spacing w:line="276" w:lineRule="auto"/>
              <w:rPr>
                <w:sz w:val="20"/>
                <w:szCs w:val="20"/>
                <w:highlight w:val="yellow"/>
              </w:rPr>
            </w:pPr>
            <w:r w:rsidRPr="00A32541">
              <w:rPr>
                <w:sz w:val="20"/>
                <w:szCs w:val="20"/>
                <w:highlight w:val="yellow"/>
              </w:rPr>
              <w:t>Selbständige Anwendung der Strategie auf einen Text.</w:t>
            </w:r>
          </w:p>
        </w:tc>
      </w:tr>
    </w:tbl>
    <w:p w14:paraId="077202FE" w14:textId="77777777" w:rsidR="009027BC" w:rsidRDefault="009027BC" w:rsidP="009027BC">
      <w:pPr>
        <w:pStyle w:val="Listenabsatz"/>
        <w:numPr>
          <w:ilvl w:val="0"/>
          <w:numId w:val="0"/>
        </w:numPr>
        <w:ind w:left="1440"/>
      </w:pPr>
    </w:p>
    <w:p w14:paraId="3BE973B6" w14:textId="77777777" w:rsidR="009027BC" w:rsidRPr="00C5305F" w:rsidRDefault="009027BC" w:rsidP="009027BC">
      <w:pPr>
        <w:pStyle w:val="berschrift1"/>
        <w:jc w:val="left"/>
      </w:pPr>
      <w:r w:rsidRPr="00A41E2D">
        <w:rPr>
          <w:b w:val="0"/>
          <w:sz w:val="22"/>
          <w:szCs w:val="22"/>
        </w:rPr>
        <w:br/>
      </w:r>
    </w:p>
    <w:p w14:paraId="0608D1C1" w14:textId="77777777" w:rsidR="009027BC" w:rsidRPr="001A1997" w:rsidRDefault="009027BC" w:rsidP="009027BC">
      <w:pPr>
        <w:pStyle w:val="Kopfzeile"/>
        <w:spacing w:line="276" w:lineRule="auto"/>
        <w:rPr>
          <w:rFonts w:cs="Segoe UI"/>
          <w:color w:val="000000" w:themeColor="text1"/>
          <w:sz w:val="16"/>
          <w:szCs w:val="16"/>
        </w:rPr>
      </w:pPr>
      <w:r w:rsidRPr="001A1997">
        <w:rPr>
          <w:rFonts w:cs="Segoe UI"/>
          <w:color w:val="000000" w:themeColor="text1"/>
          <w:sz w:val="16"/>
          <w:szCs w:val="16"/>
        </w:rPr>
        <w:t xml:space="preserve">In Anlehnung an </w:t>
      </w:r>
      <w:r w:rsidRPr="001A1997">
        <w:rPr>
          <w:rFonts w:cs="Segoe UI"/>
          <w:i/>
          <w:color w:val="000000" w:themeColor="text1"/>
          <w:sz w:val="16"/>
          <w:szCs w:val="16"/>
        </w:rPr>
        <w:t>Sprachförderung im Fachunterricht an beruflichen Schulen</w:t>
      </w:r>
      <w:r w:rsidRPr="001A1997">
        <w:rPr>
          <w:rFonts w:cs="Segoe UI"/>
          <w:color w:val="000000" w:themeColor="text1"/>
          <w:sz w:val="16"/>
          <w:szCs w:val="16"/>
        </w:rPr>
        <w:t xml:space="preserve">. Cornelsen. Berlin 2013. S. 50-51 </w:t>
      </w:r>
    </w:p>
    <w:p w14:paraId="48E981C5" w14:textId="73786C2A" w:rsidR="009D0472" w:rsidRPr="009D0472" w:rsidRDefault="009D0472" w:rsidP="005B053D"/>
    <w:sectPr w:rsidR="009D0472" w:rsidRPr="009D0472"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6887" w14:textId="77777777" w:rsidR="008830A3" w:rsidRDefault="008830A3" w:rsidP="00795E0E">
      <w:r>
        <w:separator/>
      </w:r>
    </w:p>
  </w:endnote>
  <w:endnote w:type="continuationSeparator" w:id="0">
    <w:p w14:paraId="3E45AA5F" w14:textId="77777777" w:rsidR="008830A3" w:rsidRDefault="008830A3"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31FE" w14:textId="77777777" w:rsidR="008830A3" w:rsidRDefault="008830A3" w:rsidP="00795E0E">
      <w:r>
        <w:separator/>
      </w:r>
    </w:p>
  </w:footnote>
  <w:footnote w:type="continuationSeparator" w:id="0">
    <w:p w14:paraId="150982F4" w14:textId="77777777" w:rsidR="008830A3" w:rsidRDefault="008830A3"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4515C6"/>
    <w:multiLevelType w:val="hybridMultilevel"/>
    <w:tmpl w:val="151C4DC8"/>
    <w:lvl w:ilvl="0" w:tplc="77520364">
      <w:start w:val="1"/>
      <w:numFmt w:val="bullet"/>
      <w:lvlText w:val="•"/>
      <w:lvlJc w:val="left"/>
      <w:pPr>
        <w:tabs>
          <w:tab w:val="num" w:pos="720"/>
        </w:tabs>
        <w:ind w:left="720" w:hanging="360"/>
      </w:pPr>
      <w:rPr>
        <w:rFonts w:ascii="Arial" w:hAnsi="Arial" w:hint="default"/>
      </w:rPr>
    </w:lvl>
    <w:lvl w:ilvl="1" w:tplc="91F84FE6" w:tentative="1">
      <w:start w:val="1"/>
      <w:numFmt w:val="bullet"/>
      <w:lvlText w:val="•"/>
      <w:lvlJc w:val="left"/>
      <w:pPr>
        <w:tabs>
          <w:tab w:val="num" w:pos="1440"/>
        </w:tabs>
        <w:ind w:left="1440" w:hanging="360"/>
      </w:pPr>
      <w:rPr>
        <w:rFonts w:ascii="Arial" w:hAnsi="Arial" w:hint="default"/>
      </w:rPr>
    </w:lvl>
    <w:lvl w:ilvl="2" w:tplc="86B09E1C" w:tentative="1">
      <w:start w:val="1"/>
      <w:numFmt w:val="bullet"/>
      <w:lvlText w:val="•"/>
      <w:lvlJc w:val="left"/>
      <w:pPr>
        <w:tabs>
          <w:tab w:val="num" w:pos="2160"/>
        </w:tabs>
        <w:ind w:left="2160" w:hanging="360"/>
      </w:pPr>
      <w:rPr>
        <w:rFonts w:ascii="Arial" w:hAnsi="Arial" w:hint="default"/>
      </w:rPr>
    </w:lvl>
    <w:lvl w:ilvl="3" w:tplc="20164A2C" w:tentative="1">
      <w:start w:val="1"/>
      <w:numFmt w:val="bullet"/>
      <w:lvlText w:val="•"/>
      <w:lvlJc w:val="left"/>
      <w:pPr>
        <w:tabs>
          <w:tab w:val="num" w:pos="2880"/>
        </w:tabs>
        <w:ind w:left="2880" w:hanging="360"/>
      </w:pPr>
      <w:rPr>
        <w:rFonts w:ascii="Arial" w:hAnsi="Arial" w:hint="default"/>
      </w:rPr>
    </w:lvl>
    <w:lvl w:ilvl="4" w:tplc="D3A020AC" w:tentative="1">
      <w:start w:val="1"/>
      <w:numFmt w:val="bullet"/>
      <w:lvlText w:val="•"/>
      <w:lvlJc w:val="left"/>
      <w:pPr>
        <w:tabs>
          <w:tab w:val="num" w:pos="3600"/>
        </w:tabs>
        <w:ind w:left="3600" w:hanging="360"/>
      </w:pPr>
      <w:rPr>
        <w:rFonts w:ascii="Arial" w:hAnsi="Arial" w:hint="default"/>
      </w:rPr>
    </w:lvl>
    <w:lvl w:ilvl="5" w:tplc="C57804C2" w:tentative="1">
      <w:start w:val="1"/>
      <w:numFmt w:val="bullet"/>
      <w:lvlText w:val="•"/>
      <w:lvlJc w:val="left"/>
      <w:pPr>
        <w:tabs>
          <w:tab w:val="num" w:pos="4320"/>
        </w:tabs>
        <w:ind w:left="4320" w:hanging="360"/>
      </w:pPr>
      <w:rPr>
        <w:rFonts w:ascii="Arial" w:hAnsi="Arial" w:hint="default"/>
      </w:rPr>
    </w:lvl>
    <w:lvl w:ilvl="6" w:tplc="FF2E1210" w:tentative="1">
      <w:start w:val="1"/>
      <w:numFmt w:val="bullet"/>
      <w:lvlText w:val="•"/>
      <w:lvlJc w:val="left"/>
      <w:pPr>
        <w:tabs>
          <w:tab w:val="num" w:pos="5040"/>
        </w:tabs>
        <w:ind w:left="5040" w:hanging="360"/>
      </w:pPr>
      <w:rPr>
        <w:rFonts w:ascii="Arial" w:hAnsi="Arial" w:hint="default"/>
      </w:rPr>
    </w:lvl>
    <w:lvl w:ilvl="7" w:tplc="37C03D46" w:tentative="1">
      <w:start w:val="1"/>
      <w:numFmt w:val="bullet"/>
      <w:lvlText w:val="•"/>
      <w:lvlJc w:val="left"/>
      <w:pPr>
        <w:tabs>
          <w:tab w:val="num" w:pos="5760"/>
        </w:tabs>
        <w:ind w:left="5760" w:hanging="360"/>
      </w:pPr>
      <w:rPr>
        <w:rFonts w:ascii="Arial" w:hAnsi="Arial" w:hint="default"/>
      </w:rPr>
    </w:lvl>
    <w:lvl w:ilvl="8" w:tplc="09229C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5F051A"/>
    <w:multiLevelType w:val="hybridMultilevel"/>
    <w:tmpl w:val="DFD8E3DC"/>
    <w:lvl w:ilvl="0" w:tplc="0478C236">
      <w:start w:val="1"/>
      <w:numFmt w:val="decimal"/>
      <w:lvlText w:val="%1."/>
      <w:lvlJc w:val="left"/>
      <w:pPr>
        <w:tabs>
          <w:tab w:val="num" w:pos="720"/>
        </w:tabs>
        <w:ind w:left="720" w:hanging="360"/>
      </w:pPr>
    </w:lvl>
    <w:lvl w:ilvl="1" w:tplc="269A58E8" w:tentative="1">
      <w:start w:val="1"/>
      <w:numFmt w:val="decimal"/>
      <w:lvlText w:val="%2."/>
      <w:lvlJc w:val="left"/>
      <w:pPr>
        <w:tabs>
          <w:tab w:val="num" w:pos="1440"/>
        </w:tabs>
        <w:ind w:left="1440" w:hanging="360"/>
      </w:pPr>
    </w:lvl>
    <w:lvl w:ilvl="2" w:tplc="37DAFFBC" w:tentative="1">
      <w:start w:val="1"/>
      <w:numFmt w:val="decimal"/>
      <w:lvlText w:val="%3."/>
      <w:lvlJc w:val="left"/>
      <w:pPr>
        <w:tabs>
          <w:tab w:val="num" w:pos="2160"/>
        </w:tabs>
        <w:ind w:left="2160" w:hanging="360"/>
      </w:pPr>
    </w:lvl>
    <w:lvl w:ilvl="3" w:tplc="53487D42" w:tentative="1">
      <w:start w:val="1"/>
      <w:numFmt w:val="decimal"/>
      <w:lvlText w:val="%4."/>
      <w:lvlJc w:val="left"/>
      <w:pPr>
        <w:tabs>
          <w:tab w:val="num" w:pos="2880"/>
        </w:tabs>
        <w:ind w:left="2880" w:hanging="360"/>
      </w:pPr>
    </w:lvl>
    <w:lvl w:ilvl="4" w:tplc="BB2AEAB0" w:tentative="1">
      <w:start w:val="1"/>
      <w:numFmt w:val="decimal"/>
      <w:lvlText w:val="%5."/>
      <w:lvlJc w:val="left"/>
      <w:pPr>
        <w:tabs>
          <w:tab w:val="num" w:pos="3600"/>
        </w:tabs>
        <w:ind w:left="3600" w:hanging="360"/>
      </w:pPr>
    </w:lvl>
    <w:lvl w:ilvl="5" w:tplc="1024B9EA" w:tentative="1">
      <w:start w:val="1"/>
      <w:numFmt w:val="decimal"/>
      <w:lvlText w:val="%6."/>
      <w:lvlJc w:val="left"/>
      <w:pPr>
        <w:tabs>
          <w:tab w:val="num" w:pos="4320"/>
        </w:tabs>
        <w:ind w:left="4320" w:hanging="360"/>
      </w:pPr>
    </w:lvl>
    <w:lvl w:ilvl="6" w:tplc="EE76A496" w:tentative="1">
      <w:start w:val="1"/>
      <w:numFmt w:val="decimal"/>
      <w:lvlText w:val="%7."/>
      <w:lvlJc w:val="left"/>
      <w:pPr>
        <w:tabs>
          <w:tab w:val="num" w:pos="5040"/>
        </w:tabs>
        <w:ind w:left="5040" w:hanging="360"/>
      </w:pPr>
    </w:lvl>
    <w:lvl w:ilvl="7" w:tplc="7966A3D2" w:tentative="1">
      <w:start w:val="1"/>
      <w:numFmt w:val="decimal"/>
      <w:lvlText w:val="%8."/>
      <w:lvlJc w:val="left"/>
      <w:pPr>
        <w:tabs>
          <w:tab w:val="num" w:pos="5760"/>
        </w:tabs>
        <w:ind w:left="5760" w:hanging="360"/>
      </w:pPr>
    </w:lvl>
    <w:lvl w:ilvl="8" w:tplc="4838E648" w:tentative="1">
      <w:start w:val="1"/>
      <w:numFmt w:val="decimal"/>
      <w:lvlText w:val="%9."/>
      <w:lvlJc w:val="left"/>
      <w:pPr>
        <w:tabs>
          <w:tab w:val="num" w:pos="6480"/>
        </w:tabs>
        <w:ind w:left="6480" w:hanging="360"/>
      </w:p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9"/>
  </w:num>
  <w:num w:numId="4" w16cid:durableId="2082604905">
    <w:abstractNumId w:val="3"/>
  </w:num>
  <w:num w:numId="5" w16cid:durableId="1068649881">
    <w:abstractNumId w:val="9"/>
  </w:num>
  <w:num w:numId="6" w16cid:durableId="1592615764">
    <w:abstractNumId w:val="18"/>
  </w:num>
  <w:num w:numId="7" w16cid:durableId="2049260183">
    <w:abstractNumId w:val="8"/>
  </w:num>
  <w:num w:numId="8" w16cid:durableId="501165176">
    <w:abstractNumId w:val="15"/>
  </w:num>
  <w:num w:numId="9" w16cid:durableId="1517765064">
    <w:abstractNumId w:val="12"/>
  </w:num>
  <w:num w:numId="10" w16cid:durableId="1190873070">
    <w:abstractNumId w:val="10"/>
  </w:num>
  <w:num w:numId="11" w16cid:durableId="982006615">
    <w:abstractNumId w:val="1"/>
  </w:num>
  <w:num w:numId="12" w16cid:durableId="218714230">
    <w:abstractNumId w:val="17"/>
  </w:num>
  <w:num w:numId="13" w16cid:durableId="614336060">
    <w:abstractNumId w:val="2"/>
  </w:num>
  <w:num w:numId="14" w16cid:durableId="1950158556">
    <w:abstractNumId w:val="25"/>
  </w:num>
  <w:num w:numId="15" w16cid:durableId="1732997332">
    <w:abstractNumId w:val="7"/>
  </w:num>
  <w:num w:numId="16" w16cid:durableId="820119667">
    <w:abstractNumId w:val="5"/>
  </w:num>
  <w:num w:numId="17" w16cid:durableId="431517082">
    <w:abstractNumId w:val="11"/>
  </w:num>
  <w:num w:numId="18" w16cid:durableId="1329404831">
    <w:abstractNumId w:val="22"/>
  </w:num>
  <w:num w:numId="19" w16cid:durableId="1545292938">
    <w:abstractNumId w:val="24"/>
  </w:num>
  <w:num w:numId="20" w16cid:durableId="844517896">
    <w:abstractNumId w:val="20"/>
  </w:num>
  <w:num w:numId="21" w16cid:durableId="95757432">
    <w:abstractNumId w:val="23"/>
  </w:num>
  <w:num w:numId="22" w16cid:durableId="1309165243">
    <w:abstractNumId w:val="4"/>
  </w:num>
  <w:num w:numId="23" w16cid:durableId="1277902787">
    <w:abstractNumId w:val="16"/>
  </w:num>
  <w:num w:numId="24" w16cid:durableId="1647735437">
    <w:abstractNumId w:val="21"/>
  </w:num>
  <w:num w:numId="25" w16cid:durableId="770392844">
    <w:abstractNumId w:val="6"/>
  </w:num>
  <w:num w:numId="26" w16cid:durableId="1900289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830A3"/>
    <w:rsid w:val="00893587"/>
    <w:rsid w:val="008A0DC1"/>
    <w:rsid w:val="008E31A9"/>
    <w:rsid w:val="008E3335"/>
    <w:rsid w:val="008E4E99"/>
    <w:rsid w:val="008F5876"/>
    <w:rsid w:val="009027BC"/>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E6EB0"/>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paragraph" w:customStyle="1" w:styleId="Default">
    <w:name w:val="Default"/>
    <w:rsid w:val="009027B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2866</Characters>
  <Application>Microsoft Office Word</Application>
  <DocSecurity>0</DocSecurity>
  <Lines>23</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3</cp:revision>
  <cp:lastPrinted>2011-08-28T06:17:00Z</cp:lastPrinted>
  <dcterms:created xsi:type="dcterms:W3CDTF">2022-09-10T11:25:00Z</dcterms:created>
  <dcterms:modified xsi:type="dcterms:W3CDTF">2022-09-10T11:27:00Z</dcterms:modified>
</cp:coreProperties>
</file>