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6CD51B56" w14:textId="77777777" w:rsidR="00E20E70" w:rsidRPr="00197939" w:rsidRDefault="00E20E70" w:rsidP="00E20E70">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Sprachliche Anforderungen ermitteln (Schreiben)</w:t>
      </w:r>
      <w:r w:rsidRPr="00197939">
        <w:rPr>
          <w:rFonts w:cs="Calibri"/>
          <w:b/>
          <w:smallCaps/>
          <w:sz w:val="32"/>
          <w:szCs w:val="32"/>
        </w:rPr>
        <w:t xml:space="preserve"> </w:t>
      </w:r>
    </w:p>
    <w:p w14:paraId="46869B97" w14:textId="77777777" w:rsidR="00E20E70" w:rsidRDefault="00E20E70" w:rsidP="00E20E70">
      <w:pPr>
        <w:spacing w:after="60"/>
        <w:rPr>
          <w:b/>
        </w:rPr>
      </w:pPr>
    </w:p>
    <w:p w14:paraId="350BD8AE" w14:textId="77777777" w:rsidR="00E20E70" w:rsidRDefault="00E20E70" w:rsidP="00E20E70">
      <w:pPr>
        <w:spacing w:before="0" w:line="240" w:lineRule="auto"/>
      </w:pPr>
      <w:r w:rsidRPr="00E26E88">
        <w:rPr>
          <w:b/>
        </w:rPr>
        <w:t>Aufgabe 2</w:t>
      </w:r>
      <w:r w:rsidRPr="00E26E88">
        <w:t>:</w:t>
      </w:r>
      <w:r>
        <w:t xml:space="preserve"> </w:t>
      </w:r>
      <w:r w:rsidRPr="00B57BA2">
        <w:t xml:space="preserve">Konkretisieren Sie die sprachlichen Anforderungen an ein Protokoll, das </w:t>
      </w:r>
      <w:r>
        <w:t>Schülerinnen und Schüler</w:t>
      </w:r>
      <w:r w:rsidRPr="00B57BA2">
        <w:t xml:space="preserve"> zum</w:t>
      </w:r>
      <w:r>
        <w:t xml:space="preserve"> Versuch</w:t>
      </w:r>
      <w:r w:rsidRPr="00B57BA2">
        <w:t xml:space="preserve"> „</w:t>
      </w:r>
      <w:r>
        <w:t>Brennende Kerze“ schreiben sollen, auf</w:t>
      </w:r>
    </w:p>
    <w:p w14:paraId="22846979" w14:textId="77777777" w:rsidR="00E20E70" w:rsidRPr="007F775C" w:rsidRDefault="00E20E70" w:rsidP="00E20E70">
      <w:pPr>
        <w:pStyle w:val="Listenabsatz"/>
        <w:numPr>
          <w:ilvl w:val="0"/>
          <w:numId w:val="26"/>
        </w:numPr>
        <w:spacing w:before="0" w:line="240" w:lineRule="auto"/>
        <w:jc w:val="left"/>
        <w:rPr>
          <w:rFonts w:cs="Calibri"/>
        </w:rPr>
      </w:pPr>
      <w:r w:rsidRPr="007F775C">
        <w:rPr>
          <w:rFonts w:cs="Calibri"/>
        </w:rPr>
        <w:t xml:space="preserve">Wort-, </w:t>
      </w:r>
    </w:p>
    <w:p w14:paraId="4CCF0DC4" w14:textId="77777777" w:rsidR="00E20E70" w:rsidRPr="007F775C" w:rsidRDefault="00E20E70" w:rsidP="00E20E70">
      <w:pPr>
        <w:pStyle w:val="Listenabsatz"/>
        <w:numPr>
          <w:ilvl w:val="0"/>
          <w:numId w:val="26"/>
        </w:numPr>
        <w:spacing w:before="0" w:line="240" w:lineRule="auto"/>
        <w:jc w:val="left"/>
        <w:rPr>
          <w:rFonts w:cs="Calibri"/>
        </w:rPr>
      </w:pPr>
      <w:r w:rsidRPr="007F775C">
        <w:rPr>
          <w:rFonts w:cs="Calibri"/>
        </w:rPr>
        <w:t xml:space="preserve">Satz- und </w:t>
      </w:r>
    </w:p>
    <w:p w14:paraId="3E4FE4A1" w14:textId="77777777" w:rsidR="00E20E70" w:rsidRPr="008B6441" w:rsidRDefault="00E20E70" w:rsidP="00E20E70">
      <w:pPr>
        <w:pStyle w:val="Listenabsatz"/>
        <w:numPr>
          <w:ilvl w:val="0"/>
          <w:numId w:val="26"/>
        </w:numPr>
        <w:spacing w:before="0" w:line="240" w:lineRule="auto"/>
        <w:jc w:val="left"/>
        <w:rPr>
          <w:rFonts w:cs="Calibri"/>
        </w:rPr>
      </w:pPr>
      <w:r w:rsidRPr="007F775C">
        <w:rPr>
          <w:rFonts w:cs="Calibri"/>
        </w:rPr>
        <w:t>Textebene.</w:t>
      </w:r>
    </w:p>
    <w:p w14:paraId="1A02D8D2" w14:textId="77777777" w:rsidR="00E20E70" w:rsidRDefault="00E20E70" w:rsidP="00E20E70">
      <w:pPr>
        <w:spacing w:before="0" w:line="240" w:lineRule="auto"/>
        <w:rPr>
          <w:noProof/>
          <w:sz w:val="16"/>
          <w:szCs w:val="17"/>
          <w:lang w:eastAsia="de-DE"/>
        </w:rPr>
      </w:pPr>
    </w:p>
    <w:tbl>
      <w:tblPr>
        <w:tblStyle w:val="Tabellenraster"/>
        <w:tblW w:w="0" w:type="auto"/>
        <w:tblLook w:val="04A0" w:firstRow="1" w:lastRow="0" w:firstColumn="1" w:lastColumn="0" w:noHBand="0" w:noVBand="1"/>
      </w:tblPr>
      <w:tblGrid>
        <w:gridCol w:w="8920"/>
      </w:tblGrid>
      <w:tr w:rsidR="00E20E70" w:rsidRPr="00DD6B0E" w14:paraId="5FE0E822" w14:textId="77777777" w:rsidTr="000605E6">
        <w:tc>
          <w:tcPr>
            <w:tcW w:w="8920" w:type="dxa"/>
          </w:tcPr>
          <w:p w14:paraId="7A44AC14" w14:textId="77777777" w:rsidR="00E20E70" w:rsidRPr="008B6441" w:rsidRDefault="00E20E70" w:rsidP="00E20E70">
            <w:pPr>
              <w:spacing w:before="0" w:line="240" w:lineRule="auto"/>
              <w:rPr>
                <w:rFonts w:asciiTheme="minorHAnsi" w:hAnsiTheme="minorHAnsi" w:cstheme="minorHAnsi"/>
                <w:b/>
                <w:sz w:val="32"/>
                <w:lang w:eastAsia="de-DE"/>
              </w:rPr>
            </w:pPr>
            <w:r w:rsidRPr="008B6441">
              <w:rPr>
                <w:rFonts w:asciiTheme="minorHAnsi" w:hAnsiTheme="minorHAnsi" w:cstheme="minorHAnsi"/>
                <w:b/>
                <w:sz w:val="32"/>
                <w:lang w:eastAsia="de-DE"/>
              </w:rPr>
              <w:t>Chemieunterricht/ Das Versuchsprotokoll</w:t>
            </w:r>
          </w:p>
          <w:p w14:paraId="378A7985" w14:textId="77777777" w:rsidR="00E20E70" w:rsidRPr="00F276E2" w:rsidRDefault="00E20E70" w:rsidP="00E20E70">
            <w:pPr>
              <w:spacing w:before="0" w:line="240" w:lineRule="auto"/>
              <w:rPr>
                <w:rFonts w:asciiTheme="minorHAnsi" w:hAnsiTheme="minorHAnsi" w:cstheme="minorHAnsi"/>
                <w:sz w:val="20"/>
                <w:lang w:eastAsia="de-DE"/>
              </w:rPr>
            </w:pPr>
            <w:r w:rsidRPr="00F276E2">
              <w:rPr>
                <w:rFonts w:asciiTheme="minorHAnsi" w:hAnsiTheme="minorHAnsi" w:cstheme="minorHAnsi"/>
                <w:sz w:val="20"/>
                <w:lang w:eastAsia="de-DE"/>
              </w:rPr>
              <w:t>In der Chemie und in unserem Chemieunterricht finden Versuche = Experimente nicht zufällig statt, sie werden stets sorgfältig geplant und durchgeführt. Der Versuch wird sorgfältig und genau beobachtet, um die chemischen Vorgänge vernünftig erklären zu können. Experimente müssen immer nachvollziehbar sein. Daher werden immer Versuchsprotokolle mit folgender Gliederung angefertigt:</w:t>
            </w:r>
          </w:p>
          <w:p w14:paraId="5664BFB4"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Überschrift/ Thema</w:t>
            </w:r>
          </w:p>
          <w:p w14:paraId="721B34CE"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Der Versuchsinhalt wird mit knappen Worten wiedergeben.</w:t>
            </w:r>
          </w:p>
          <w:p w14:paraId="18C5A991"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Versuch:</w:t>
            </w:r>
          </w:p>
          <w:p w14:paraId="7206D459" w14:textId="77777777" w:rsidR="00E20E70" w:rsidRPr="00F276E2" w:rsidRDefault="00E20E70" w:rsidP="00E20E70">
            <w:pPr>
              <w:pStyle w:val="Listenabsatz"/>
              <w:numPr>
                <w:ilvl w:val="1"/>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Auflistung der benötigten Geräte, Materialien und Chemikalien</w:t>
            </w:r>
          </w:p>
          <w:p w14:paraId="0B0D4EC6" w14:textId="77777777" w:rsidR="00E20E70" w:rsidRPr="00F276E2" w:rsidRDefault="00E20E70" w:rsidP="00E20E70">
            <w:pPr>
              <w:pStyle w:val="Listenabsatz"/>
              <w:numPr>
                <w:ilvl w:val="1"/>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Skizze und Beschriftung des Aufbaus</w:t>
            </w:r>
          </w:p>
          <w:p w14:paraId="1893BFE6" w14:textId="77777777" w:rsidR="00E20E70" w:rsidRPr="00F276E2" w:rsidRDefault="00E20E70" w:rsidP="00E20E70">
            <w:pPr>
              <w:pStyle w:val="Listenabsatz"/>
              <w:numPr>
                <w:ilvl w:val="1"/>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Die Durchführung und Ausführung eines Experimentes in der richtigen und zeitlichen Reihenfolge beschreiben.</w:t>
            </w:r>
          </w:p>
          <w:p w14:paraId="77359658"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Unsere Beobachtungen und Wahrnehmungen der Sinnesorgane in der richtigen und zeitlichen Reihenfolge nennen, aber nicht erklären!</w:t>
            </w:r>
          </w:p>
          <w:p w14:paraId="5DD5AC39"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Die Ergebnisse oder die Auswertung aller Beobachtungen wissenschaftlich erklären, eine allgemeine Erklärung und eine allgemeine Erkenntnis formulieren.</w:t>
            </w:r>
          </w:p>
          <w:p w14:paraId="693CE317" w14:textId="77777777" w:rsidR="00E20E70" w:rsidRPr="00F276E2" w:rsidRDefault="00E20E70" w:rsidP="00E20E70">
            <w:pPr>
              <w:pStyle w:val="Listenabsatz"/>
              <w:numPr>
                <w:ilvl w:val="0"/>
                <w:numId w:val="25"/>
              </w:numPr>
              <w:spacing w:before="0" w:line="240" w:lineRule="auto"/>
              <w:jc w:val="left"/>
              <w:rPr>
                <w:rFonts w:asciiTheme="minorHAnsi" w:hAnsiTheme="minorHAnsi" w:cstheme="minorHAnsi"/>
                <w:sz w:val="20"/>
                <w:lang w:eastAsia="de-DE"/>
              </w:rPr>
            </w:pPr>
            <w:r w:rsidRPr="00F276E2">
              <w:rPr>
                <w:rFonts w:asciiTheme="minorHAnsi" w:hAnsiTheme="minorHAnsi" w:cstheme="minorHAnsi"/>
                <w:sz w:val="20"/>
                <w:lang w:eastAsia="de-DE"/>
              </w:rPr>
              <w:t>Die Entsorgung und gegebenenfalls geeignete Entsorgungsmaßnahmen festhalten.</w:t>
            </w:r>
          </w:p>
        </w:tc>
      </w:tr>
    </w:tbl>
    <w:p w14:paraId="52364714" w14:textId="77777777" w:rsidR="00E20E70" w:rsidRPr="004A035F" w:rsidRDefault="00E20E70" w:rsidP="00E20E70">
      <w:pPr>
        <w:spacing w:before="0" w:line="240" w:lineRule="auto"/>
        <w:rPr>
          <w:rFonts w:asciiTheme="minorHAnsi" w:hAnsiTheme="minorHAnsi" w:cstheme="minorHAnsi"/>
          <w:sz w:val="20"/>
          <w:lang w:eastAsia="de-DE"/>
        </w:rPr>
      </w:pPr>
      <w:hyperlink r:id="rId9" w:history="1">
        <w:r w:rsidRPr="004A035F">
          <w:rPr>
            <w:rStyle w:val="Hyperlink"/>
            <w:rFonts w:asciiTheme="minorHAnsi" w:hAnsiTheme="minorHAnsi" w:cstheme="minorHAnsi"/>
            <w:sz w:val="20"/>
            <w:lang w:eastAsia="de-DE"/>
          </w:rPr>
          <w:t>https://de.wikibooks.org/wiki/Chemieunterricht/_Das_Versuchsprotokoll</w:t>
        </w:r>
      </w:hyperlink>
    </w:p>
    <w:p w14:paraId="0751A53B" w14:textId="77777777" w:rsidR="00E20E70" w:rsidRPr="004A035F" w:rsidRDefault="00E20E70" w:rsidP="00E20E70">
      <w:pPr>
        <w:spacing w:before="0" w:line="240" w:lineRule="auto"/>
        <w:rPr>
          <w:rFonts w:asciiTheme="minorHAnsi" w:hAnsiTheme="minorHAnsi" w:cstheme="minorHAnsi"/>
          <w:b/>
          <w:sz w:val="20"/>
          <w:lang w:eastAsia="de-DE"/>
        </w:rPr>
      </w:pPr>
    </w:p>
    <w:p w14:paraId="623C8F8A" w14:textId="77777777" w:rsidR="00E20E70" w:rsidRPr="004A035F" w:rsidRDefault="00E20E70" w:rsidP="00E20E70">
      <w:pPr>
        <w:spacing w:before="0" w:line="240" w:lineRule="auto"/>
        <w:rPr>
          <w:rFonts w:asciiTheme="minorHAnsi" w:hAnsiTheme="minorHAnsi" w:cstheme="minorHAnsi"/>
          <w:b/>
          <w:sz w:val="20"/>
          <w:lang w:eastAsia="de-DE"/>
        </w:rPr>
      </w:pPr>
    </w:p>
    <w:tbl>
      <w:tblPr>
        <w:tblStyle w:val="Tabellenraster"/>
        <w:tblW w:w="0" w:type="auto"/>
        <w:tblLook w:val="04A0" w:firstRow="1" w:lastRow="0" w:firstColumn="1" w:lastColumn="0" w:noHBand="0" w:noVBand="1"/>
      </w:tblPr>
      <w:tblGrid>
        <w:gridCol w:w="8920"/>
      </w:tblGrid>
      <w:tr w:rsidR="00E20E70" w:rsidRPr="00DD6B0E" w14:paraId="421655DC" w14:textId="77777777" w:rsidTr="000605E6">
        <w:tc>
          <w:tcPr>
            <w:tcW w:w="8920" w:type="dxa"/>
          </w:tcPr>
          <w:p w14:paraId="485B896F" w14:textId="77777777" w:rsidR="00E20E70" w:rsidRPr="008B6441" w:rsidRDefault="00E20E70" w:rsidP="00E20E70">
            <w:pPr>
              <w:spacing w:before="0" w:line="240" w:lineRule="auto"/>
              <w:rPr>
                <w:rFonts w:asciiTheme="minorHAnsi" w:hAnsiTheme="minorHAnsi" w:cstheme="minorHAnsi"/>
                <w:b/>
                <w:sz w:val="32"/>
                <w:lang w:eastAsia="de-DE"/>
              </w:rPr>
            </w:pPr>
            <w:r w:rsidRPr="008B6441">
              <w:rPr>
                <w:rFonts w:asciiTheme="minorHAnsi" w:hAnsiTheme="minorHAnsi" w:cstheme="minorHAnsi"/>
                <w:b/>
                <w:sz w:val="32"/>
                <w:lang w:eastAsia="de-DE"/>
              </w:rPr>
              <w:t xml:space="preserve">Versuch </w:t>
            </w:r>
            <w:r>
              <w:rPr>
                <w:rFonts w:asciiTheme="minorHAnsi" w:hAnsiTheme="minorHAnsi" w:cstheme="minorHAnsi"/>
                <w:b/>
                <w:sz w:val="32"/>
                <w:lang w:eastAsia="de-DE"/>
              </w:rPr>
              <w:t xml:space="preserve">„Brennende </w:t>
            </w:r>
            <w:r w:rsidRPr="008B6441">
              <w:rPr>
                <w:rFonts w:asciiTheme="minorHAnsi" w:hAnsiTheme="minorHAnsi" w:cstheme="minorHAnsi"/>
                <w:b/>
                <w:sz w:val="32"/>
                <w:lang w:eastAsia="de-DE"/>
              </w:rPr>
              <w:t>Kerze</w:t>
            </w:r>
            <w:r>
              <w:rPr>
                <w:rFonts w:asciiTheme="minorHAnsi" w:hAnsiTheme="minorHAnsi" w:cstheme="minorHAnsi"/>
                <w:b/>
                <w:sz w:val="32"/>
                <w:lang w:eastAsia="de-DE"/>
              </w:rPr>
              <w:t>“</w:t>
            </w:r>
          </w:p>
          <w:p w14:paraId="7AB43B2A"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Was brennt eigentlich an der Kerze - Wachs oder Docht? Mache doch mal den Versuch und entzünde ein Stück Wachs oder einen Wollfaden. Welcher von beiden brennt wie die Kerze?</w:t>
            </w:r>
          </w:p>
          <w:p w14:paraId="6F4EC446" w14:textId="77777777" w:rsidR="00E20E70" w:rsidRDefault="00E20E70" w:rsidP="00E20E70">
            <w:pPr>
              <w:spacing w:before="0" w:line="240" w:lineRule="auto"/>
              <w:rPr>
                <w:rFonts w:asciiTheme="minorHAnsi" w:hAnsiTheme="minorHAnsi" w:cstheme="minorHAnsi"/>
                <w:sz w:val="20"/>
                <w:lang w:eastAsia="de-DE"/>
              </w:rPr>
            </w:pPr>
          </w:p>
          <w:tbl>
            <w:tblPr>
              <w:tblStyle w:val="Tabellenraster"/>
              <w:tblW w:w="0" w:type="auto"/>
              <w:tblLook w:val="04A0" w:firstRow="1" w:lastRow="0" w:firstColumn="1" w:lastColumn="0" w:noHBand="0" w:noVBand="1"/>
            </w:tblPr>
            <w:tblGrid>
              <w:gridCol w:w="2889"/>
              <w:gridCol w:w="2895"/>
              <w:gridCol w:w="2910"/>
            </w:tblGrid>
            <w:tr w:rsidR="00E20E70" w14:paraId="094377EF" w14:textId="77777777" w:rsidTr="000605E6">
              <w:tc>
                <w:tcPr>
                  <w:tcW w:w="2973" w:type="dxa"/>
                  <w:shd w:val="clear" w:color="auto" w:fill="D9D9D9" w:themeFill="background1" w:themeFillShade="D9"/>
                </w:tcPr>
                <w:p w14:paraId="3BCCA1BF" w14:textId="77777777" w:rsidR="00E20E70" w:rsidRPr="00AB64C6" w:rsidRDefault="00E20E70" w:rsidP="00E20E70">
                  <w:pPr>
                    <w:spacing w:before="0" w:line="240" w:lineRule="auto"/>
                    <w:rPr>
                      <w:rFonts w:asciiTheme="minorHAnsi" w:hAnsiTheme="minorHAnsi" w:cstheme="minorHAnsi"/>
                      <w:b/>
                      <w:sz w:val="20"/>
                      <w:lang w:eastAsia="de-DE"/>
                    </w:rPr>
                  </w:pPr>
                  <w:r w:rsidRPr="00AB64C6">
                    <w:rPr>
                      <w:rFonts w:asciiTheme="minorHAnsi" w:hAnsiTheme="minorHAnsi" w:cstheme="minorHAnsi"/>
                      <w:b/>
                      <w:sz w:val="20"/>
                      <w:lang w:eastAsia="de-DE"/>
                    </w:rPr>
                    <w:t>Versuch</w:t>
                  </w:r>
                </w:p>
              </w:tc>
              <w:tc>
                <w:tcPr>
                  <w:tcW w:w="2973" w:type="dxa"/>
                  <w:shd w:val="clear" w:color="auto" w:fill="D9D9D9" w:themeFill="background1" w:themeFillShade="D9"/>
                </w:tcPr>
                <w:p w14:paraId="34660104" w14:textId="77777777" w:rsidR="00E20E70" w:rsidRPr="00AB64C6" w:rsidRDefault="00E20E70" w:rsidP="00E20E70">
                  <w:pPr>
                    <w:spacing w:before="0" w:line="240" w:lineRule="auto"/>
                    <w:rPr>
                      <w:rFonts w:asciiTheme="minorHAnsi" w:hAnsiTheme="minorHAnsi" w:cstheme="minorHAnsi"/>
                      <w:b/>
                      <w:sz w:val="20"/>
                      <w:lang w:eastAsia="de-DE"/>
                    </w:rPr>
                  </w:pPr>
                  <w:r w:rsidRPr="00AB64C6">
                    <w:rPr>
                      <w:rFonts w:asciiTheme="minorHAnsi" w:hAnsiTheme="minorHAnsi" w:cstheme="minorHAnsi"/>
                      <w:b/>
                      <w:sz w:val="20"/>
                      <w:lang w:eastAsia="de-DE"/>
                    </w:rPr>
                    <w:t>Beobachtung</w:t>
                  </w:r>
                </w:p>
              </w:tc>
              <w:tc>
                <w:tcPr>
                  <w:tcW w:w="2974" w:type="dxa"/>
                  <w:shd w:val="clear" w:color="auto" w:fill="D9D9D9" w:themeFill="background1" w:themeFillShade="D9"/>
                </w:tcPr>
                <w:p w14:paraId="4841CE1E" w14:textId="77777777" w:rsidR="00E20E70" w:rsidRPr="00AB64C6" w:rsidRDefault="00E20E70" w:rsidP="00E20E70">
                  <w:pPr>
                    <w:spacing w:before="0" w:line="240" w:lineRule="auto"/>
                    <w:rPr>
                      <w:rFonts w:asciiTheme="minorHAnsi" w:hAnsiTheme="minorHAnsi" w:cstheme="minorHAnsi"/>
                      <w:b/>
                      <w:sz w:val="20"/>
                      <w:lang w:eastAsia="de-DE"/>
                    </w:rPr>
                  </w:pPr>
                  <w:r w:rsidRPr="00AB64C6">
                    <w:rPr>
                      <w:rFonts w:asciiTheme="minorHAnsi" w:hAnsiTheme="minorHAnsi" w:cstheme="minorHAnsi"/>
                      <w:b/>
                      <w:sz w:val="20"/>
                      <w:lang w:eastAsia="de-DE"/>
                    </w:rPr>
                    <w:t>Schlussfolgerung</w:t>
                  </w:r>
                </w:p>
                <w:p w14:paraId="1F8D42AC" w14:textId="77777777" w:rsidR="00E20E70" w:rsidRPr="00AB64C6" w:rsidRDefault="00E20E70" w:rsidP="00E20E70">
                  <w:pPr>
                    <w:spacing w:before="0" w:line="240" w:lineRule="auto"/>
                    <w:rPr>
                      <w:rFonts w:asciiTheme="minorHAnsi" w:hAnsiTheme="minorHAnsi" w:cstheme="minorHAnsi"/>
                      <w:b/>
                      <w:sz w:val="20"/>
                      <w:lang w:eastAsia="de-DE"/>
                    </w:rPr>
                  </w:pPr>
                </w:p>
              </w:tc>
            </w:tr>
            <w:tr w:rsidR="00E20E70" w14:paraId="1AE3A593" w14:textId="77777777" w:rsidTr="000605E6">
              <w:tc>
                <w:tcPr>
                  <w:tcW w:w="2973" w:type="dxa"/>
                </w:tcPr>
                <w:p w14:paraId="7C5CCF2E"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Verbrennen des Dochtes</w:t>
                  </w:r>
                </w:p>
                <w:p w14:paraId="0F85233B" w14:textId="77777777" w:rsidR="00E20E70" w:rsidRDefault="00E20E70" w:rsidP="00E20E70">
                  <w:pPr>
                    <w:spacing w:before="0" w:line="240" w:lineRule="auto"/>
                    <w:rPr>
                      <w:rFonts w:asciiTheme="minorHAnsi" w:hAnsiTheme="minorHAnsi" w:cstheme="minorHAnsi"/>
                      <w:sz w:val="20"/>
                      <w:lang w:eastAsia="de-DE"/>
                    </w:rPr>
                  </w:pPr>
                </w:p>
              </w:tc>
              <w:tc>
                <w:tcPr>
                  <w:tcW w:w="2973" w:type="dxa"/>
                </w:tcPr>
                <w:p w14:paraId="01A54A4E"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Docht glimmt, brennt aber nicht</w:t>
                  </w:r>
                </w:p>
              </w:tc>
              <w:tc>
                <w:tcPr>
                  <w:tcW w:w="2974" w:type="dxa"/>
                </w:tcPr>
                <w:p w14:paraId="3D204AD5"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 xml:space="preserve">Docht </w:t>
                  </w:r>
                  <w:proofErr w:type="gramStart"/>
                  <w:r w:rsidRPr="005C73EC">
                    <w:rPr>
                      <w:rFonts w:asciiTheme="minorHAnsi" w:hAnsiTheme="minorHAnsi" w:cstheme="minorHAnsi"/>
                      <w:sz w:val="20"/>
                      <w:lang w:eastAsia="de-DE"/>
                    </w:rPr>
                    <w:t>alleine</w:t>
                  </w:r>
                  <w:proofErr w:type="gramEnd"/>
                  <w:r w:rsidRPr="005C73EC">
                    <w:rPr>
                      <w:rFonts w:asciiTheme="minorHAnsi" w:hAnsiTheme="minorHAnsi" w:cstheme="minorHAnsi"/>
                      <w:sz w:val="20"/>
                      <w:lang w:eastAsia="de-DE"/>
                    </w:rPr>
                    <w:t xml:space="preserve"> brennt nicht</w:t>
                  </w:r>
                </w:p>
              </w:tc>
            </w:tr>
            <w:tr w:rsidR="00E20E70" w:rsidRPr="00DD6B0E" w14:paraId="0E51DB5E" w14:textId="77777777" w:rsidTr="000605E6">
              <w:tc>
                <w:tcPr>
                  <w:tcW w:w="2973" w:type="dxa"/>
                </w:tcPr>
                <w:p w14:paraId="2A53AF54"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Versuche ein Wachsstück an Kerze zu entzünden</w:t>
                  </w:r>
                </w:p>
              </w:tc>
              <w:tc>
                <w:tcPr>
                  <w:tcW w:w="2973" w:type="dxa"/>
                </w:tcPr>
                <w:p w14:paraId="6779E276"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Wachs schmilzt, brennt nicht</w:t>
                  </w:r>
                </w:p>
              </w:tc>
              <w:tc>
                <w:tcPr>
                  <w:tcW w:w="2974" w:type="dxa"/>
                </w:tcPr>
                <w:p w14:paraId="49F1A481" w14:textId="77777777" w:rsidR="00E20E70" w:rsidRPr="005C73EC"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festes Wachs brennt nicht</w:t>
                  </w:r>
                </w:p>
                <w:p w14:paraId="5640C852" w14:textId="77777777" w:rsidR="00E20E70" w:rsidRDefault="00E20E70" w:rsidP="00E20E70">
                  <w:pPr>
                    <w:spacing w:before="0" w:line="240" w:lineRule="auto"/>
                    <w:rPr>
                      <w:rFonts w:asciiTheme="minorHAnsi" w:hAnsiTheme="minorHAnsi" w:cstheme="minorHAnsi"/>
                      <w:sz w:val="20"/>
                      <w:lang w:eastAsia="de-DE"/>
                    </w:rPr>
                  </w:pPr>
                </w:p>
              </w:tc>
            </w:tr>
            <w:tr w:rsidR="00E20E70" w:rsidRPr="00DD6B0E" w14:paraId="4B39E12B" w14:textId="77777777" w:rsidTr="000605E6">
              <w:tc>
                <w:tcPr>
                  <w:tcW w:w="2973" w:type="dxa"/>
                </w:tcPr>
                <w:p w14:paraId="75595600"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Kerze am Docht anzünden</w:t>
                  </w:r>
                </w:p>
              </w:tc>
              <w:tc>
                <w:tcPr>
                  <w:tcW w:w="2973" w:type="dxa"/>
                </w:tcPr>
                <w:p w14:paraId="7F452852"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lässt sich entzünden</w:t>
                  </w:r>
                </w:p>
              </w:tc>
              <w:tc>
                <w:tcPr>
                  <w:tcW w:w="2974" w:type="dxa"/>
                </w:tcPr>
                <w:p w14:paraId="1B28C867" w14:textId="77777777" w:rsidR="00E20E70" w:rsidRPr="005C73EC"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Wachsgase brennen</w:t>
                  </w:r>
                </w:p>
                <w:p w14:paraId="069CDF94" w14:textId="77777777" w:rsidR="00E20E70" w:rsidRDefault="00E20E70" w:rsidP="00E20E70">
                  <w:pPr>
                    <w:spacing w:before="0" w:line="240" w:lineRule="auto"/>
                    <w:rPr>
                      <w:rFonts w:asciiTheme="minorHAnsi" w:hAnsiTheme="minorHAnsi" w:cstheme="minorHAnsi"/>
                      <w:sz w:val="20"/>
                      <w:lang w:eastAsia="de-DE"/>
                    </w:rPr>
                  </w:pPr>
                </w:p>
              </w:tc>
            </w:tr>
          </w:tbl>
          <w:p w14:paraId="06801580" w14:textId="77777777" w:rsidR="00E20E70" w:rsidRPr="005C73EC" w:rsidRDefault="00E20E70" w:rsidP="00E20E70">
            <w:pPr>
              <w:spacing w:before="0" w:line="240" w:lineRule="auto"/>
              <w:rPr>
                <w:rFonts w:asciiTheme="minorHAnsi" w:hAnsiTheme="minorHAnsi" w:cstheme="minorHAnsi"/>
                <w:sz w:val="20"/>
                <w:lang w:eastAsia="de-DE"/>
              </w:rPr>
            </w:pPr>
          </w:p>
          <w:p w14:paraId="7AC59208" w14:textId="77777777" w:rsidR="00E20E70" w:rsidRPr="005C73EC"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Nur durch Zusammenwirken von Wachs und Docht kann die Kerze brennen</w:t>
            </w:r>
            <w:r>
              <w:rPr>
                <w:rFonts w:asciiTheme="minorHAnsi" w:hAnsiTheme="minorHAnsi" w:cstheme="minorHAnsi"/>
                <w:sz w:val="20"/>
                <w:lang w:eastAsia="de-DE"/>
              </w:rPr>
              <w:t>.</w:t>
            </w:r>
          </w:p>
          <w:p w14:paraId="08804880" w14:textId="77777777" w:rsidR="00E20E70" w:rsidRPr="005C73EC"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Beweis durch Annähern eines Streichholzes an eine gerade erloschene Kerze!</w:t>
            </w:r>
          </w:p>
          <w:p w14:paraId="3C6A1943" w14:textId="77777777" w:rsidR="00E20E70" w:rsidRDefault="00E20E70" w:rsidP="00E20E70">
            <w:pPr>
              <w:spacing w:before="0" w:line="240" w:lineRule="auto"/>
              <w:rPr>
                <w:rFonts w:asciiTheme="minorHAnsi" w:hAnsiTheme="minorHAnsi" w:cstheme="minorHAnsi"/>
                <w:sz w:val="20"/>
                <w:lang w:eastAsia="de-DE"/>
              </w:rPr>
            </w:pPr>
            <w:r w:rsidRPr="005C73EC">
              <w:rPr>
                <w:rFonts w:asciiTheme="minorHAnsi" w:hAnsiTheme="minorHAnsi" w:cstheme="minorHAnsi"/>
                <w:sz w:val="20"/>
                <w:lang w:eastAsia="de-DE"/>
              </w:rPr>
              <w:t>→ Entzündung, obwo</w:t>
            </w:r>
            <w:r>
              <w:rPr>
                <w:rFonts w:asciiTheme="minorHAnsi" w:hAnsiTheme="minorHAnsi" w:cstheme="minorHAnsi"/>
                <w:sz w:val="20"/>
                <w:lang w:eastAsia="de-DE"/>
              </w:rPr>
              <w:t xml:space="preserve">hl der Docht nicht </w:t>
            </w:r>
            <w:proofErr w:type="gramStart"/>
            <w:r>
              <w:rPr>
                <w:rFonts w:asciiTheme="minorHAnsi" w:hAnsiTheme="minorHAnsi" w:cstheme="minorHAnsi"/>
                <w:sz w:val="20"/>
                <w:lang w:eastAsia="de-DE"/>
              </w:rPr>
              <w:t>berührt</w:t>
            </w:r>
            <w:proofErr w:type="gramEnd"/>
            <w:r>
              <w:rPr>
                <w:rFonts w:asciiTheme="minorHAnsi" w:hAnsiTheme="minorHAnsi" w:cstheme="minorHAnsi"/>
                <w:sz w:val="20"/>
                <w:lang w:eastAsia="de-DE"/>
              </w:rPr>
              <w:t xml:space="preserve"> wird</w:t>
            </w:r>
          </w:p>
          <w:p w14:paraId="4D57F31C" w14:textId="77777777" w:rsidR="00E20E70" w:rsidRDefault="00E20E70" w:rsidP="00E20E70">
            <w:pPr>
              <w:spacing w:before="0" w:line="240" w:lineRule="auto"/>
              <w:rPr>
                <w:rFonts w:asciiTheme="minorHAnsi" w:hAnsiTheme="minorHAnsi" w:cstheme="minorHAnsi"/>
                <w:b/>
                <w:sz w:val="20"/>
                <w:lang w:eastAsia="de-DE"/>
              </w:rPr>
            </w:pPr>
          </w:p>
        </w:tc>
      </w:tr>
    </w:tbl>
    <w:p w14:paraId="6DE8A6D8" w14:textId="77777777" w:rsidR="00E20E70" w:rsidRPr="004A035F" w:rsidRDefault="00E20E70" w:rsidP="00E20E70">
      <w:pPr>
        <w:spacing w:before="0" w:line="240" w:lineRule="auto"/>
        <w:rPr>
          <w:rFonts w:asciiTheme="minorHAnsi" w:hAnsiTheme="minorHAnsi" w:cstheme="minorHAnsi"/>
          <w:sz w:val="20"/>
          <w:lang w:eastAsia="de-DE"/>
        </w:rPr>
      </w:pPr>
      <w:hyperlink r:id="rId10" w:history="1">
        <w:r w:rsidRPr="004A035F">
          <w:rPr>
            <w:rStyle w:val="Hyperlink"/>
            <w:rFonts w:asciiTheme="minorHAnsi" w:hAnsiTheme="minorHAnsi" w:cstheme="minorHAnsi"/>
            <w:sz w:val="20"/>
            <w:lang w:eastAsia="de-DE"/>
          </w:rPr>
          <w:t>https://de.wikibooks.org/wiki/Anorganische_Chemie_f%C3%BCr_Sch%C3%BCler/_Erste_Grundlagen</w:t>
        </w:r>
      </w:hyperlink>
    </w:p>
    <w:p w14:paraId="48E981C5" w14:textId="73786C2A" w:rsidR="009D0472" w:rsidRPr="009D0472" w:rsidRDefault="009D0472" w:rsidP="00E20E70">
      <w:pPr>
        <w:spacing w:before="0" w:line="240" w:lineRule="auto"/>
      </w:pPr>
    </w:p>
    <w:sectPr w:rsidR="009D0472" w:rsidRPr="009D0472"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365B" w14:textId="77777777" w:rsidR="00512EED" w:rsidRDefault="00512EED" w:rsidP="00795E0E">
      <w:r>
        <w:separator/>
      </w:r>
    </w:p>
  </w:endnote>
  <w:endnote w:type="continuationSeparator" w:id="0">
    <w:p w14:paraId="63353CB8" w14:textId="77777777" w:rsidR="00512EED" w:rsidRDefault="00512EED"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E38A" w14:textId="77777777" w:rsidR="00512EED" w:rsidRDefault="00512EED" w:rsidP="00795E0E">
      <w:r>
        <w:separator/>
      </w:r>
    </w:p>
  </w:footnote>
  <w:footnote w:type="continuationSeparator" w:id="0">
    <w:p w14:paraId="7172162B" w14:textId="77777777" w:rsidR="00512EED" w:rsidRDefault="00512EED"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0A"/>
    <w:multiLevelType w:val="hybridMultilevel"/>
    <w:tmpl w:val="87986D8E"/>
    <w:lvl w:ilvl="0" w:tplc="94A29642">
      <w:start w:val="1"/>
      <w:numFmt w:val="decimal"/>
      <w:lvlText w:val="%1.)"/>
      <w:lvlJc w:val="left"/>
      <w:pPr>
        <w:ind w:left="720" w:hanging="360"/>
      </w:pPr>
      <w:rPr>
        <w:rFonts w:hint="default"/>
      </w:rPr>
    </w:lvl>
    <w:lvl w:ilvl="1" w:tplc="5D8422E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675196"/>
    <w:multiLevelType w:val="hybridMultilevel"/>
    <w:tmpl w:val="6E5C40F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1"/>
  </w:num>
  <w:num w:numId="3" w16cid:durableId="1448354020">
    <w:abstractNumId w:val="19"/>
  </w:num>
  <w:num w:numId="4" w16cid:durableId="2082604905">
    <w:abstractNumId w:val="4"/>
  </w:num>
  <w:num w:numId="5" w16cid:durableId="1068649881">
    <w:abstractNumId w:val="9"/>
  </w:num>
  <w:num w:numId="6" w16cid:durableId="1592615764">
    <w:abstractNumId w:val="18"/>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2"/>
  </w:num>
  <w:num w:numId="12" w16cid:durableId="218714230">
    <w:abstractNumId w:val="16"/>
  </w:num>
  <w:num w:numId="13" w16cid:durableId="614336060">
    <w:abstractNumId w:val="3"/>
  </w:num>
  <w:num w:numId="14" w16cid:durableId="1950158556">
    <w:abstractNumId w:val="25"/>
  </w:num>
  <w:num w:numId="15" w16cid:durableId="1732997332">
    <w:abstractNumId w:val="7"/>
  </w:num>
  <w:num w:numId="16" w16cid:durableId="820119667">
    <w:abstractNumId w:val="6"/>
  </w:num>
  <w:num w:numId="17" w16cid:durableId="431517082">
    <w:abstractNumId w:val="11"/>
  </w:num>
  <w:num w:numId="18" w16cid:durableId="1329404831">
    <w:abstractNumId w:val="22"/>
  </w:num>
  <w:num w:numId="19" w16cid:durableId="1545292938">
    <w:abstractNumId w:val="24"/>
  </w:num>
  <w:num w:numId="20" w16cid:durableId="844517896">
    <w:abstractNumId w:val="20"/>
  </w:num>
  <w:num w:numId="21" w16cid:durableId="95757432">
    <w:abstractNumId w:val="23"/>
  </w:num>
  <w:num w:numId="22" w16cid:durableId="1309165243">
    <w:abstractNumId w:val="5"/>
  </w:num>
  <w:num w:numId="23" w16cid:durableId="1277902787">
    <w:abstractNumId w:val="15"/>
  </w:num>
  <w:num w:numId="24" w16cid:durableId="1647735437">
    <w:abstractNumId w:val="21"/>
  </w:num>
  <w:num w:numId="25" w16cid:durableId="45834358">
    <w:abstractNumId w:val="0"/>
  </w:num>
  <w:num w:numId="26" w16cid:durableId="14917546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12EED"/>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0E70"/>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E20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wikibooks.org/wiki/Anorganische_Chemie_f%C3%BCr_Sch%C3%BCler/_Erste_Grundlagen" TargetMode="External"/><Relationship Id="rId4" Type="http://schemas.openxmlformats.org/officeDocument/2006/relationships/webSettings" Target="webSettings.xml"/><Relationship Id="rId9" Type="http://schemas.openxmlformats.org/officeDocument/2006/relationships/hyperlink" Target="https://de.wikibooks.org/wiki/Chemieunterricht/_Das_Versuchsprotokol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2165</Characters>
  <Application>Microsoft Office Word</Application>
  <DocSecurity>0</DocSecurity>
  <Lines>18</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2022-09-10T12:49:00Z</dcterms:created>
  <dcterms:modified xsi:type="dcterms:W3CDTF">2022-09-10T12:49:00Z</dcterms:modified>
</cp:coreProperties>
</file>