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6A27FB82" w14:textId="77777777" w:rsidR="00511F47" w:rsidRPr="00197939" w:rsidRDefault="00511F47" w:rsidP="00511F47">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Sprachbedarfsermittlung in der beruflichen Bildung</w:t>
      </w:r>
    </w:p>
    <w:p w14:paraId="321AABF3" w14:textId="77777777" w:rsidR="00511F47" w:rsidRDefault="00511F47" w:rsidP="00511F47">
      <w:pPr>
        <w:rPr>
          <w:rFonts w:cstheme="minorHAnsi"/>
          <w:b/>
        </w:rPr>
      </w:pPr>
    </w:p>
    <w:p w14:paraId="1AE89B72" w14:textId="4741605D" w:rsidR="00511F47" w:rsidRDefault="00511F47" w:rsidP="00511F47">
      <w:pPr>
        <w:rPr>
          <w:rFonts w:cstheme="minorHAnsi"/>
        </w:rPr>
      </w:pPr>
      <w:r w:rsidRPr="0033572F">
        <w:rPr>
          <w:rFonts w:cstheme="minorHAnsi"/>
          <w:b/>
        </w:rPr>
        <w:t xml:space="preserve">Aufgabe </w:t>
      </w:r>
      <w:r>
        <w:rPr>
          <w:rFonts w:cstheme="minorHAnsi"/>
          <w:b/>
        </w:rPr>
        <w:t>4</w:t>
      </w:r>
      <w:r w:rsidRPr="0033572F">
        <w:rPr>
          <w:rFonts w:cstheme="minorHAnsi"/>
          <w:b/>
        </w:rPr>
        <w:t>:</w:t>
      </w:r>
      <w:r>
        <w:rPr>
          <w:rFonts w:cstheme="minorHAnsi"/>
        </w:rPr>
        <w:t xml:space="preserve"> </w:t>
      </w:r>
    </w:p>
    <w:p w14:paraId="68A0297F" w14:textId="77777777" w:rsidR="00511F47" w:rsidRPr="00AA6B71" w:rsidRDefault="00511F47" w:rsidP="00511F47">
      <w:pPr>
        <w:pStyle w:val="Listenabsatz"/>
        <w:numPr>
          <w:ilvl w:val="0"/>
          <w:numId w:val="26"/>
        </w:numPr>
        <w:spacing w:before="0" w:after="160" w:line="259" w:lineRule="auto"/>
        <w:ind w:left="284" w:hanging="284"/>
        <w:contextualSpacing/>
        <w:jc w:val="left"/>
        <w:rPr>
          <w:rFonts w:cstheme="minorHAnsi"/>
        </w:rPr>
      </w:pPr>
      <w:r>
        <w:rPr>
          <w:rFonts w:cstheme="minorHAnsi"/>
        </w:rPr>
        <w:t xml:space="preserve">Lesen Sie </w:t>
      </w:r>
      <w:r w:rsidRPr="00AA6B71">
        <w:rPr>
          <w:rFonts w:cstheme="minorHAnsi"/>
        </w:rPr>
        <w:t xml:space="preserve">die Auszüge aus dem Leitfaden für die Praxis über „Sprachbedarfsermittlung im berufsbezogenen Unterricht Deutsch als Zweitsprache“, herausgegeben von der Fachstelle Berufsbezogenes Deutsch. </w:t>
      </w:r>
    </w:p>
    <w:p w14:paraId="6364D91B" w14:textId="77777777" w:rsidR="00511F47" w:rsidRPr="00AA6B71" w:rsidRDefault="00511F47" w:rsidP="00511F47">
      <w:pPr>
        <w:pStyle w:val="Listenabsatz"/>
        <w:numPr>
          <w:ilvl w:val="0"/>
          <w:numId w:val="26"/>
        </w:numPr>
        <w:spacing w:before="0" w:after="160" w:line="259" w:lineRule="auto"/>
        <w:ind w:left="284" w:hanging="284"/>
        <w:contextualSpacing/>
        <w:jc w:val="left"/>
        <w:rPr>
          <w:rFonts w:cstheme="minorHAnsi"/>
        </w:rPr>
      </w:pPr>
      <w:r w:rsidRPr="00AA6B71">
        <w:rPr>
          <w:rFonts w:cstheme="minorHAnsi"/>
        </w:rPr>
        <w:t>Entwickeln Sie Ideen für eine Sprachbedarfsermittlung für einen Beruf, in dem Sie unterrichten.</w:t>
      </w:r>
    </w:p>
    <w:p w14:paraId="2EE9D732" w14:textId="77777777" w:rsidR="00511F47" w:rsidRDefault="00511F47" w:rsidP="00511F47">
      <w:pPr>
        <w:rPr>
          <w:rFonts w:ascii="Cambria" w:hAnsi="Cambria"/>
          <w:b/>
          <w:sz w:val="28"/>
        </w:rPr>
      </w:pPr>
    </w:p>
    <w:p w14:paraId="5BF172B4" w14:textId="77777777" w:rsidR="00511F47" w:rsidRPr="00C45253" w:rsidRDefault="00511F47" w:rsidP="00511F47">
      <w:pPr>
        <w:pStyle w:val="berschrift1"/>
      </w:pPr>
      <w:r w:rsidRPr="00C45253">
        <w:t xml:space="preserve">Sprachbedarfsermittlung im berufsbezogenen Unterricht </w:t>
      </w:r>
    </w:p>
    <w:p w14:paraId="58CA3F8D" w14:textId="77777777" w:rsidR="00511F47" w:rsidRDefault="00511F47" w:rsidP="00511F47">
      <w:r w:rsidRPr="00C45253">
        <w:rPr>
          <w:b/>
          <w:sz w:val="24"/>
        </w:rPr>
        <w:t>ASPEKTE DER SPRACHBEDARFSERMITTLUNG</w:t>
      </w:r>
      <w:r>
        <w:t xml:space="preserve">. „Eine Kurs- und Unterrichtsplanung […], die die Stärkung und Förderung von (Sprach-) Kompetenzen zum Ziel hat und dabei den Teilnehmenden und dessen Potenziale in den Mittelpunkt stellt, muss neben den möglichen Lerninhalten (Was?) auch die Frage nach der Lernmotivation (Warum?) sowie nach den Lernmöglichkeiten (Wie?) stellen. Alle drei Aspekte sollten bei der Kursplanung bzw. Sprachbedarfsermittlung zusammen beantwortet werden, so dass die Frage </w:t>
      </w:r>
      <w:proofErr w:type="gramStart"/>
      <w:r>
        <w:t>erweitert</w:t>
      </w:r>
      <w:proofErr w:type="gramEnd"/>
      <w:r>
        <w:t xml:space="preserve"> lautet: „Was sollten, können und wollen die Teilnehmenden warum und wie lernen?“ Dabei werden die persönliche Ausgangssituation, die berufliche Zielsituation sowie die (Sprach-) Lernprozesse gleichermaßen berücksichtigt: </w:t>
      </w:r>
    </w:p>
    <w:p w14:paraId="61F4EE18" w14:textId="77777777" w:rsidR="00511F47" w:rsidRDefault="00511F47" w:rsidP="00511F47">
      <w:r>
        <w:rPr>
          <w:noProof/>
          <w:lang w:eastAsia="de-DE"/>
        </w:rPr>
        <w:drawing>
          <wp:inline distT="0" distB="0" distL="0" distR="0" wp14:anchorId="7C2BE59E" wp14:editId="3B14DED3">
            <wp:extent cx="5760720" cy="1656080"/>
            <wp:effectExtent l="0" t="0" r="0" b="127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9"/>
                    <a:stretch>
                      <a:fillRect/>
                    </a:stretch>
                  </pic:blipFill>
                  <pic:spPr>
                    <a:xfrm>
                      <a:off x="0" y="0"/>
                      <a:ext cx="5760720" cy="1656080"/>
                    </a:xfrm>
                    <a:prstGeom prst="rect">
                      <a:avLst/>
                    </a:prstGeom>
                  </pic:spPr>
                </pic:pic>
              </a:graphicData>
            </a:graphic>
          </wp:inline>
        </w:drawing>
      </w:r>
      <w:r w:rsidRPr="00FF3E6F">
        <w:t xml:space="preserve"> </w:t>
      </w:r>
      <w:r>
        <w:t xml:space="preserve">Die </w:t>
      </w:r>
      <w:r w:rsidRPr="00FF3E6F">
        <w:rPr>
          <w:b/>
        </w:rPr>
        <w:t>berufliche Zielsituation</w:t>
      </w:r>
      <w:r>
        <w:t xml:space="preserve"> beschreibt die genauen beruflichen Anforderungen bzw. Aufgaben, denen die Kursteilnehmenden gewachsen sein müssen: </w:t>
      </w:r>
    </w:p>
    <w:p w14:paraId="0C5F01D0" w14:textId="77777777" w:rsidR="00511F47" w:rsidRDefault="00511F47" w:rsidP="00511F47">
      <w:pPr>
        <w:pStyle w:val="Listenabsatz"/>
        <w:numPr>
          <w:ilvl w:val="0"/>
          <w:numId w:val="25"/>
        </w:numPr>
        <w:spacing w:before="0" w:after="160" w:line="259" w:lineRule="auto"/>
        <w:contextualSpacing/>
        <w:jc w:val="left"/>
      </w:pPr>
      <w:r>
        <w:t xml:space="preserve">Welche sprachlichen Kompetenzen braucht die/der Teilnehmende, um bestimmte berufliche Situationen effektiv bewältigen zu können? </w:t>
      </w:r>
    </w:p>
    <w:p w14:paraId="33D53C0A" w14:textId="77777777" w:rsidR="00511F47" w:rsidRDefault="00511F47" w:rsidP="00511F47">
      <w:pPr>
        <w:pStyle w:val="Listenabsatz"/>
        <w:numPr>
          <w:ilvl w:val="0"/>
          <w:numId w:val="25"/>
        </w:numPr>
        <w:spacing w:before="0" w:after="160" w:line="259" w:lineRule="auto"/>
        <w:contextualSpacing/>
        <w:jc w:val="left"/>
      </w:pPr>
      <w:r>
        <w:t xml:space="preserve">Mit welchen beruflichen Aufgaben und Aktivitäten hat die/der Teilnehmende zu tun? </w:t>
      </w:r>
    </w:p>
    <w:p w14:paraId="166D1D4F" w14:textId="77777777" w:rsidR="00511F47" w:rsidRDefault="00511F47" w:rsidP="00511F47">
      <w:pPr>
        <w:pStyle w:val="Listenabsatz"/>
        <w:numPr>
          <w:ilvl w:val="0"/>
          <w:numId w:val="25"/>
        </w:numPr>
        <w:spacing w:before="0" w:after="160" w:line="259" w:lineRule="auto"/>
        <w:contextualSpacing/>
        <w:jc w:val="left"/>
      </w:pPr>
      <w:r>
        <w:t>Wie wird in der Zielsituation kommuniziert?</w:t>
      </w:r>
    </w:p>
    <w:p w14:paraId="730A12B9" w14:textId="77777777" w:rsidR="00511F47" w:rsidRPr="009673BE" w:rsidRDefault="00511F47" w:rsidP="00511F47">
      <w:pPr>
        <w:keepNext/>
        <w:keepLines/>
      </w:pPr>
      <w:r w:rsidRPr="00C45253">
        <w:rPr>
          <w:b/>
          <w:sz w:val="24"/>
        </w:rPr>
        <w:lastRenderedPageBreak/>
        <w:t>METHODEN DER SPRACHBEDARFSERMITTLUNG</w:t>
      </w:r>
      <w:r>
        <w:t xml:space="preserve">. </w:t>
      </w:r>
      <w:r w:rsidRPr="009673BE">
        <w:t>Es sind vier Ebenen, auf denen Sprachbedarfe prinzipiell ermittelt werden können</w:t>
      </w:r>
      <w:r>
        <w:t>.</w:t>
      </w:r>
    </w:p>
    <w:p w14:paraId="647D37CB" w14:textId="77777777" w:rsidR="00511F47" w:rsidRPr="00A86EA3" w:rsidRDefault="00511F47" w:rsidP="00511F47">
      <w:pPr>
        <w:keepNext/>
        <w:keepLines/>
        <w:rPr>
          <w:b/>
        </w:rPr>
      </w:pPr>
      <w:r w:rsidRPr="00A86EA3">
        <w:rPr>
          <w:b/>
        </w:rPr>
        <w:t>Die vier Ebe</w:t>
      </w:r>
      <w:r>
        <w:rPr>
          <w:b/>
        </w:rPr>
        <w:t>nen der Sprachbedarfsermittlung</w:t>
      </w:r>
    </w:p>
    <w:tbl>
      <w:tblPr>
        <w:tblStyle w:val="Tabellenraster"/>
        <w:tblW w:w="0" w:type="auto"/>
        <w:tblLook w:val="04A0" w:firstRow="1" w:lastRow="0" w:firstColumn="1" w:lastColumn="0" w:noHBand="0" w:noVBand="1"/>
      </w:tblPr>
      <w:tblGrid>
        <w:gridCol w:w="1828"/>
        <w:gridCol w:w="7092"/>
      </w:tblGrid>
      <w:tr w:rsidR="00511F47" w14:paraId="25A00539" w14:textId="77777777" w:rsidTr="006B5A02">
        <w:tc>
          <w:tcPr>
            <w:tcW w:w="1838" w:type="dxa"/>
          </w:tcPr>
          <w:p w14:paraId="32D258DD" w14:textId="77777777" w:rsidR="00511F47" w:rsidRDefault="00511F47" w:rsidP="006B5A02">
            <w:r>
              <w:t>(1) Teilnehmende</w:t>
            </w:r>
          </w:p>
        </w:tc>
        <w:tc>
          <w:tcPr>
            <w:tcW w:w="7224" w:type="dxa"/>
          </w:tcPr>
          <w:p w14:paraId="4AA7E243" w14:textId="77777777" w:rsidR="00511F47" w:rsidRDefault="00511F47" w:rsidP="006B5A02">
            <w:r>
              <w:t xml:space="preserve">Welche Sprach- und Lernbedarfe sowie -bedürfnisse ergeben sich aufgrund der Teilnehmervoraussetzungen und der beruflichen Ziele, Wünsche und Erwartungen? </w:t>
            </w:r>
          </w:p>
        </w:tc>
      </w:tr>
      <w:tr w:rsidR="00511F47" w14:paraId="6ED0958E" w14:textId="77777777" w:rsidTr="006B5A02">
        <w:tc>
          <w:tcPr>
            <w:tcW w:w="1838" w:type="dxa"/>
          </w:tcPr>
          <w:p w14:paraId="06F5303B" w14:textId="77777777" w:rsidR="00511F47" w:rsidRDefault="00511F47" w:rsidP="006B5A02">
            <w:r>
              <w:t>(2) Berufe</w:t>
            </w:r>
          </w:p>
        </w:tc>
        <w:tc>
          <w:tcPr>
            <w:tcW w:w="7224" w:type="dxa"/>
          </w:tcPr>
          <w:p w14:paraId="0747F6B8" w14:textId="77777777" w:rsidR="00511F47" w:rsidRDefault="00511F47" w:rsidP="006B5A02">
            <w:r>
              <w:t>Welche Sprachbedarfe lassen sich auf der Basis der Berufsbilder und -profile sowie der arbeitsweltlichen Anforderungen ermitteln?</w:t>
            </w:r>
          </w:p>
        </w:tc>
      </w:tr>
      <w:tr w:rsidR="00511F47" w14:paraId="3E7FA921" w14:textId="77777777" w:rsidTr="006B5A02">
        <w:tc>
          <w:tcPr>
            <w:tcW w:w="1838" w:type="dxa"/>
          </w:tcPr>
          <w:p w14:paraId="530668F0" w14:textId="77777777" w:rsidR="00511F47" w:rsidRDefault="00511F47" w:rsidP="006B5A02">
            <w:r>
              <w:t>(3) Lernprozesse</w:t>
            </w:r>
          </w:p>
        </w:tc>
        <w:tc>
          <w:tcPr>
            <w:tcW w:w="7224" w:type="dxa"/>
          </w:tcPr>
          <w:p w14:paraId="37F49EDF" w14:textId="77777777" w:rsidR="00511F47" w:rsidRDefault="00511F47" w:rsidP="006B5A02">
            <w:r>
              <w:t>Können aufgrund des Verlaufs von Lernprozessen im Unterricht veränderte oder neue Sprachbedarfe festgestellt werden?</w:t>
            </w:r>
          </w:p>
        </w:tc>
      </w:tr>
      <w:tr w:rsidR="00511F47" w14:paraId="09F8AD33" w14:textId="77777777" w:rsidTr="006B5A02">
        <w:tc>
          <w:tcPr>
            <w:tcW w:w="1838" w:type="dxa"/>
          </w:tcPr>
          <w:p w14:paraId="428821D8" w14:textId="77777777" w:rsidR="00511F47" w:rsidRDefault="00511F47" w:rsidP="006B5A02">
            <w:r>
              <w:t>(4) Arbeitsplätze</w:t>
            </w:r>
          </w:p>
        </w:tc>
        <w:tc>
          <w:tcPr>
            <w:tcW w:w="7224" w:type="dxa"/>
          </w:tcPr>
          <w:p w14:paraId="7B87208D" w14:textId="77777777" w:rsidR="00511F47" w:rsidRDefault="00511F47" w:rsidP="006B5A02">
            <w:r>
              <w:t>Welche sprachlich-kommunikativen Anforderungen gibt es in realen Arbeitsumgebungen an Arbeitsplätzen und Betrieben tatsächlich?</w:t>
            </w:r>
          </w:p>
        </w:tc>
      </w:tr>
    </w:tbl>
    <w:p w14:paraId="24192744" w14:textId="77777777" w:rsidR="00511F47" w:rsidRDefault="00511F47" w:rsidP="00511F47"/>
    <w:p w14:paraId="740415D8" w14:textId="77777777" w:rsidR="00511F47" w:rsidRDefault="00511F47" w:rsidP="00511F47">
      <w:r>
        <w:t>Teilnehmer-, berufs-, lernprozess- und arbeitsplatzbezogene Sprachbedarfsermittlungen lassen sich mit Hilfe geeigneter Ermittlungsmethoden durchführen.</w:t>
      </w:r>
    </w:p>
    <w:p w14:paraId="5BC6FDDF" w14:textId="77777777" w:rsidR="00511F47" w:rsidRDefault="00511F47" w:rsidP="00511F47">
      <w:pPr>
        <w:rPr>
          <w:b/>
        </w:rPr>
      </w:pPr>
      <w:r w:rsidRPr="00A86EA3">
        <w:rPr>
          <w:b/>
        </w:rPr>
        <w:t xml:space="preserve">Die vier </w:t>
      </w:r>
      <w:r>
        <w:rPr>
          <w:b/>
        </w:rPr>
        <w:t>Methoden</w:t>
      </w:r>
      <w:r w:rsidRPr="00A86EA3">
        <w:rPr>
          <w:b/>
        </w:rPr>
        <w:t xml:space="preserve"> der Sprachbedarfsermittlung </w:t>
      </w:r>
    </w:p>
    <w:tbl>
      <w:tblPr>
        <w:tblStyle w:val="Tabellenraster"/>
        <w:tblW w:w="0" w:type="auto"/>
        <w:jc w:val="center"/>
        <w:tblLook w:val="04A0" w:firstRow="1" w:lastRow="0" w:firstColumn="1" w:lastColumn="0" w:noHBand="0" w:noVBand="1"/>
      </w:tblPr>
      <w:tblGrid>
        <w:gridCol w:w="1970"/>
        <w:gridCol w:w="6950"/>
      </w:tblGrid>
      <w:tr w:rsidR="00511F47" w14:paraId="6E671D35" w14:textId="77777777" w:rsidTr="00511F47">
        <w:trPr>
          <w:jc w:val="center"/>
        </w:trPr>
        <w:tc>
          <w:tcPr>
            <w:tcW w:w="1980" w:type="dxa"/>
          </w:tcPr>
          <w:p w14:paraId="7C063E55" w14:textId="77777777" w:rsidR="00511F47" w:rsidRDefault="00511F47" w:rsidP="00511F47">
            <w:pPr>
              <w:jc w:val="left"/>
              <w:rPr>
                <w:b/>
              </w:rPr>
            </w:pPr>
            <w:r>
              <w:t xml:space="preserve">(1) </w:t>
            </w:r>
            <w:r w:rsidRPr="001B7869">
              <w:t>Teilnehme</w:t>
            </w:r>
            <w:r>
              <w:t>nde</w:t>
            </w:r>
            <w:r w:rsidRPr="001B7869">
              <w:t xml:space="preserve">: </w:t>
            </w:r>
            <w:r>
              <w:br/>
            </w:r>
            <w:r w:rsidRPr="001B7869">
              <w:t>Befragung</w:t>
            </w:r>
          </w:p>
        </w:tc>
        <w:tc>
          <w:tcPr>
            <w:tcW w:w="7082" w:type="dxa"/>
          </w:tcPr>
          <w:p w14:paraId="1692396B" w14:textId="77777777" w:rsidR="00511F47" w:rsidRDefault="00511F47" w:rsidP="00511F47">
            <w:pPr>
              <w:numPr>
                <w:ilvl w:val="0"/>
                <w:numId w:val="27"/>
              </w:numPr>
              <w:tabs>
                <w:tab w:val="clear" w:pos="720"/>
                <w:tab w:val="num" w:pos="178"/>
              </w:tabs>
              <w:spacing w:before="0" w:line="240" w:lineRule="auto"/>
              <w:ind w:left="178" w:hanging="178"/>
              <w:jc w:val="left"/>
            </w:pPr>
            <w:r w:rsidRPr="001B7869">
              <w:t>Inhalte: berufsbiografische Hintergründe, berufssprachliche Erfahrungen und Kenntnisse, Ziele, Erwartungen und Wünsche</w:t>
            </w:r>
          </w:p>
          <w:p w14:paraId="02B17F23" w14:textId="77777777" w:rsidR="00511F47" w:rsidRPr="00AA14A8" w:rsidRDefault="00511F47" w:rsidP="00511F47">
            <w:pPr>
              <w:numPr>
                <w:ilvl w:val="0"/>
                <w:numId w:val="27"/>
              </w:numPr>
              <w:tabs>
                <w:tab w:val="clear" w:pos="720"/>
                <w:tab w:val="num" w:pos="178"/>
              </w:tabs>
              <w:spacing w:before="0" w:line="240" w:lineRule="auto"/>
              <w:ind w:left="178" w:hanging="178"/>
              <w:jc w:val="left"/>
            </w:pPr>
            <w:r w:rsidRPr="001B7869">
              <w:t>Formen: Fragebogen, Interview, Befragung als Unterrichtsmethode</w:t>
            </w:r>
          </w:p>
        </w:tc>
      </w:tr>
      <w:tr w:rsidR="00511F47" w14:paraId="2E79EB8D" w14:textId="77777777" w:rsidTr="00511F47">
        <w:trPr>
          <w:jc w:val="center"/>
        </w:trPr>
        <w:tc>
          <w:tcPr>
            <w:tcW w:w="1980" w:type="dxa"/>
          </w:tcPr>
          <w:p w14:paraId="04D85CA4" w14:textId="77777777" w:rsidR="00511F47" w:rsidRDefault="00511F47" w:rsidP="00511F47">
            <w:pPr>
              <w:jc w:val="left"/>
              <w:rPr>
                <w:b/>
              </w:rPr>
            </w:pPr>
            <w:r>
              <w:t xml:space="preserve">(2) </w:t>
            </w:r>
            <w:r w:rsidRPr="001B7869">
              <w:t xml:space="preserve">Berufe: </w:t>
            </w:r>
            <w:r>
              <w:br/>
            </w:r>
            <w:r w:rsidRPr="001B7869">
              <w:t>Recherche</w:t>
            </w:r>
          </w:p>
        </w:tc>
        <w:tc>
          <w:tcPr>
            <w:tcW w:w="7082" w:type="dxa"/>
          </w:tcPr>
          <w:p w14:paraId="7B66B6A6" w14:textId="77777777" w:rsidR="00511F47" w:rsidRDefault="00511F47" w:rsidP="00511F47">
            <w:pPr>
              <w:jc w:val="left"/>
              <w:rPr>
                <w:b/>
              </w:rPr>
            </w:pPr>
            <w:r w:rsidRPr="001B7869">
              <w:t>im Internet: zu Beruf, Betrieb, Arbeitsmarkt, Weiterbildung, Arbeitnehmerfragen</w:t>
            </w:r>
          </w:p>
        </w:tc>
      </w:tr>
      <w:tr w:rsidR="00511F47" w14:paraId="04AC54A0" w14:textId="77777777" w:rsidTr="00511F47">
        <w:trPr>
          <w:jc w:val="center"/>
        </w:trPr>
        <w:tc>
          <w:tcPr>
            <w:tcW w:w="1980" w:type="dxa"/>
          </w:tcPr>
          <w:p w14:paraId="164E53C5" w14:textId="77777777" w:rsidR="00511F47" w:rsidRDefault="00511F47" w:rsidP="00511F47">
            <w:pPr>
              <w:jc w:val="left"/>
              <w:rPr>
                <w:b/>
              </w:rPr>
            </w:pPr>
            <w:r>
              <w:t xml:space="preserve">(3) </w:t>
            </w:r>
            <w:r w:rsidRPr="001B7869">
              <w:t xml:space="preserve">Lernprozesse: </w:t>
            </w:r>
            <w:r>
              <w:br/>
            </w:r>
            <w:r w:rsidRPr="001B7869">
              <w:t>Beobachtungen</w:t>
            </w:r>
          </w:p>
        </w:tc>
        <w:tc>
          <w:tcPr>
            <w:tcW w:w="7082" w:type="dxa"/>
          </w:tcPr>
          <w:p w14:paraId="55F07459" w14:textId="77777777" w:rsidR="00511F47" w:rsidRDefault="00511F47" w:rsidP="00511F47">
            <w:pPr>
              <w:jc w:val="left"/>
              <w:rPr>
                <w:b/>
              </w:rPr>
            </w:pPr>
            <w:r w:rsidRPr="001B7869">
              <w:t>Planung: von Beobachtungsziel, Beobachtungsgegenstand, Beobachtungssetting, Beobachtungsform</w:t>
            </w:r>
          </w:p>
        </w:tc>
      </w:tr>
      <w:tr w:rsidR="00511F47" w14:paraId="135B21AE" w14:textId="77777777" w:rsidTr="00511F47">
        <w:trPr>
          <w:jc w:val="center"/>
        </w:trPr>
        <w:tc>
          <w:tcPr>
            <w:tcW w:w="1980" w:type="dxa"/>
          </w:tcPr>
          <w:p w14:paraId="62372CE1" w14:textId="77777777" w:rsidR="00511F47" w:rsidRDefault="00511F47" w:rsidP="00511F47">
            <w:pPr>
              <w:jc w:val="left"/>
              <w:rPr>
                <w:b/>
              </w:rPr>
            </w:pPr>
            <w:r>
              <w:t xml:space="preserve">(4) </w:t>
            </w:r>
            <w:r w:rsidRPr="001B7869">
              <w:t xml:space="preserve">Arbeitsplätze: </w:t>
            </w:r>
            <w:r>
              <w:br/>
            </w:r>
            <w:r w:rsidRPr="001B7869">
              <w:t>Erkundungen</w:t>
            </w:r>
          </w:p>
        </w:tc>
        <w:tc>
          <w:tcPr>
            <w:tcW w:w="7082" w:type="dxa"/>
          </w:tcPr>
          <w:p w14:paraId="79C19AC3" w14:textId="77777777" w:rsidR="00511F47" w:rsidRDefault="00511F47" w:rsidP="00511F47">
            <w:pPr>
              <w:jc w:val="left"/>
              <w:rPr>
                <w:b/>
              </w:rPr>
            </w:pPr>
            <w:r w:rsidRPr="001B7869">
              <w:t>durch Lehrkräfte, Lernende</w:t>
            </w:r>
          </w:p>
        </w:tc>
      </w:tr>
    </w:tbl>
    <w:p w14:paraId="2A27C6FC" w14:textId="77777777" w:rsidR="00511F47" w:rsidRDefault="00511F47" w:rsidP="00511F47"/>
    <w:p w14:paraId="530982EB" w14:textId="77777777" w:rsidR="00511F47" w:rsidRDefault="00511F47" w:rsidP="00511F47">
      <w:r>
        <w:t>Mit diesen vier Methoden werden alle relevanten Aspekte der Sprachbedarfsermittlung erfasst.“</w:t>
      </w:r>
    </w:p>
    <w:p w14:paraId="2EF05540" w14:textId="77777777" w:rsidR="00511F47" w:rsidRPr="004003F8" w:rsidRDefault="00511F47" w:rsidP="00511F47">
      <w:pPr>
        <w:spacing w:line="240" w:lineRule="auto"/>
        <w:rPr>
          <w:rFonts w:cstheme="minorHAnsi"/>
          <w:sz w:val="16"/>
          <w:szCs w:val="16"/>
          <w:lang w:eastAsia="de-DE"/>
        </w:rPr>
      </w:pPr>
      <w:r w:rsidRPr="004003F8">
        <w:rPr>
          <w:rFonts w:cstheme="minorHAnsi"/>
          <w:sz w:val="16"/>
          <w:szCs w:val="16"/>
          <w:lang w:eastAsia="de-DE"/>
        </w:rPr>
        <w:t xml:space="preserve">Weissenberg, Jens (2012). </w:t>
      </w:r>
      <w:r w:rsidRPr="004003F8">
        <w:rPr>
          <w:rFonts w:cstheme="minorHAnsi"/>
          <w:i/>
          <w:iCs/>
          <w:sz w:val="16"/>
          <w:szCs w:val="16"/>
          <w:lang w:eastAsia="de-DE"/>
        </w:rPr>
        <w:t>Sprachbedarfsermittlung im berufsbezogenen Unterricht Deutsch als Zweitsprache. Ein Leitfaden für die Praxis</w:t>
      </w:r>
      <w:r w:rsidRPr="004003F8">
        <w:rPr>
          <w:rFonts w:cstheme="minorHAnsi"/>
          <w:sz w:val="16"/>
          <w:szCs w:val="16"/>
          <w:lang w:eastAsia="de-DE"/>
        </w:rPr>
        <w:t>. Hamburg.</w:t>
      </w:r>
    </w:p>
    <w:p w14:paraId="550356F5" w14:textId="77777777" w:rsidR="00511F47" w:rsidRPr="009673BE" w:rsidRDefault="00511F47" w:rsidP="00511F47">
      <w:pPr>
        <w:rPr>
          <w:sz w:val="18"/>
        </w:rPr>
      </w:pPr>
      <w:hyperlink r:id="rId10" w:history="1">
        <w:r w:rsidRPr="00FF3E6F">
          <w:rPr>
            <w:rStyle w:val="Hyperlink"/>
            <w:sz w:val="18"/>
          </w:rPr>
          <w:t>https://www.deutsch-am-arbeitsplatz.de/fileadmin/user_upload/PDF/BD_Fachstelle_Brosch%C3%BCre_2012_A4_web.pdf</w:t>
        </w:r>
      </w:hyperlink>
    </w:p>
    <w:p w14:paraId="48E981C5" w14:textId="73786C2A" w:rsidR="009D0472" w:rsidRPr="009D0472" w:rsidRDefault="009D0472" w:rsidP="005B053D"/>
    <w:sectPr w:rsidR="009D0472" w:rsidRPr="009D0472"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436F" w14:textId="77777777" w:rsidR="00CA1D1E" w:rsidRDefault="00CA1D1E" w:rsidP="00795E0E">
      <w:r>
        <w:separator/>
      </w:r>
    </w:p>
  </w:endnote>
  <w:endnote w:type="continuationSeparator" w:id="0">
    <w:p w14:paraId="7FB8F4B9" w14:textId="77777777" w:rsidR="00CA1D1E" w:rsidRDefault="00CA1D1E"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74B3" w14:textId="77777777" w:rsidR="00CA1D1E" w:rsidRDefault="00CA1D1E" w:rsidP="00795E0E">
      <w:r>
        <w:separator/>
      </w:r>
    </w:p>
  </w:footnote>
  <w:footnote w:type="continuationSeparator" w:id="0">
    <w:p w14:paraId="6CB9872B" w14:textId="77777777" w:rsidR="00CA1D1E" w:rsidRDefault="00CA1D1E"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3D28BC"/>
    <w:multiLevelType w:val="hybridMultilevel"/>
    <w:tmpl w:val="3E0EF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C46EC6"/>
    <w:multiLevelType w:val="hybridMultilevel"/>
    <w:tmpl w:val="ECDAF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B14EA6"/>
    <w:multiLevelType w:val="hybridMultilevel"/>
    <w:tmpl w:val="0C3CC79A"/>
    <w:lvl w:ilvl="0" w:tplc="DF26526A">
      <w:start w:val="1"/>
      <w:numFmt w:val="bullet"/>
      <w:lvlText w:val=""/>
      <w:lvlJc w:val="left"/>
      <w:pPr>
        <w:tabs>
          <w:tab w:val="num" w:pos="720"/>
        </w:tabs>
        <w:ind w:left="720" w:hanging="360"/>
      </w:pPr>
      <w:rPr>
        <w:rFonts w:ascii="Wingdings" w:hAnsi="Wingdings" w:hint="default"/>
      </w:rPr>
    </w:lvl>
    <w:lvl w:ilvl="1" w:tplc="102A6E3C" w:tentative="1">
      <w:start w:val="1"/>
      <w:numFmt w:val="bullet"/>
      <w:lvlText w:val=""/>
      <w:lvlJc w:val="left"/>
      <w:pPr>
        <w:tabs>
          <w:tab w:val="num" w:pos="1440"/>
        </w:tabs>
        <w:ind w:left="1440" w:hanging="360"/>
      </w:pPr>
      <w:rPr>
        <w:rFonts w:ascii="Wingdings" w:hAnsi="Wingdings" w:hint="default"/>
      </w:rPr>
    </w:lvl>
    <w:lvl w:ilvl="2" w:tplc="5E6A7A46" w:tentative="1">
      <w:start w:val="1"/>
      <w:numFmt w:val="bullet"/>
      <w:lvlText w:val=""/>
      <w:lvlJc w:val="left"/>
      <w:pPr>
        <w:tabs>
          <w:tab w:val="num" w:pos="2160"/>
        </w:tabs>
        <w:ind w:left="2160" w:hanging="360"/>
      </w:pPr>
      <w:rPr>
        <w:rFonts w:ascii="Wingdings" w:hAnsi="Wingdings" w:hint="default"/>
      </w:rPr>
    </w:lvl>
    <w:lvl w:ilvl="3" w:tplc="490CD774" w:tentative="1">
      <w:start w:val="1"/>
      <w:numFmt w:val="bullet"/>
      <w:lvlText w:val=""/>
      <w:lvlJc w:val="left"/>
      <w:pPr>
        <w:tabs>
          <w:tab w:val="num" w:pos="2880"/>
        </w:tabs>
        <w:ind w:left="2880" w:hanging="360"/>
      </w:pPr>
      <w:rPr>
        <w:rFonts w:ascii="Wingdings" w:hAnsi="Wingdings" w:hint="default"/>
      </w:rPr>
    </w:lvl>
    <w:lvl w:ilvl="4" w:tplc="140C4DAE" w:tentative="1">
      <w:start w:val="1"/>
      <w:numFmt w:val="bullet"/>
      <w:lvlText w:val=""/>
      <w:lvlJc w:val="left"/>
      <w:pPr>
        <w:tabs>
          <w:tab w:val="num" w:pos="3600"/>
        </w:tabs>
        <w:ind w:left="3600" w:hanging="360"/>
      </w:pPr>
      <w:rPr>
        <w:rFonts w:ascii="Wingdings" w:hAnsi="Wingdings" w:hint="default"/>
      </w:rPr>
    </w:lvl>
    <w:lvl w:ilvl="5" w:tplc="86CCC31E" w:tentative="1">
      <w:start w:val="1"/>
      <w:numFmt w:val="bullet"/>
      <w:lvlText w:val=""/>
      <w:lvlJc w:val="left"/>
      <w:pPr>
        <w:tabs>
          <w:tab w:val="num" w:pos="4320"/>
        </w:tabs>
        <w:ind w:left="4320" w:hanging="360"/>
      </w:pPr>
      <w:rPr>
        <w:rFonts w:ascii="Wingdings" w:hAnsi="Wingdings" w:hint="default"/>
      </w:rPr>
    </w:lvl>
    <w:lvl w:ilvl="6" w:tplc="E6BC59CA" w:tentative="1">
      <w:start w:val="1"/>
      <w:numFmt w:val="bullet"/>
      <w:lvlText w:val=""/>
      <w:lvlJc w:val="left"/>
      <w:pPr>
        <w:tabs>
          <w:tab w:val="num" w:pos="5040"/>
        </w:tabs>
        <w:ind w:left="5040" w:hanging="360"/>
      </w:pPr>
      <w:rPr>
        <w:rFonts w:ascii="Wingdings" w:hAnsi="Wingdings" w:hint="default"/>
      </w:rPr>
    </w:lvl>
    <w:lvl w:ilvl="7" w:tplc="02EC51CC" w:tentative="1">
      <w:start w:val="1"/>
      <w:numFmt w:val="bullet"/>
      <w:lvlText w:val=""/>
      <w:lvlJc w:val="left"/>
      <w:pPr>
        <w:tabs>
          <w:tab w:val="num" w:pos="5760"/>
        </w:tabs>
        <w:ind w:left="5760" w:hanging="360"/>
      </w:pPr>
      <w:rPr>
        <w:rFonts w:ascii="Wingdings" w:hAnsi="Wingdings" w:hint="default"/>
      </w:rPr>
    </w:lvl>
    <w:lvl w:ilvl="8" w:tplc="94F277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5"/>
  </w:num>
  <w:num w:numId="2" w16cid:durableId="708603497">
    <w:abstractNumId w:val="0"/>
  </w:num>
  <w:num w:numId="3" w16cid:durableId="1448354020">
    <w:abstractNumId w:val="20"/>
  </w:num>
  <w:num w:numId="4" w16cid:durableId="2082604905">
    <w:abstractNumId w:val="4"/>
  </w:num>
  <w:num w:numId="5" w16cid:durableId="1068649881">
    <w:abstractNumId w:val="10"/>
  </w:num>
  <w:num w:numId="6" w16cid:durableId="1592615764">
    <w:abstractNumId w:val="19"/>
  </w:num>
  <w:num w:numId="7" w16cid:durableId="2049260183">
    <w:abstractNumId w:val="9"/>
  </w:num>
  <w:num w:numId="8" w16cid:durableId="501165176">
    <w:abstractNumId w:val="16"/>
  </w:num>
  <w:num w:numId="9" w16cid:durableId="1517765064">
    <w:abstractNumId w:val="14"/>
  </w:num>
  <w:num w:numId="10" w16cid:durableId="1190873070">
    <w:abstractNumId w:val="12"/>
  </w:num>
  <w:num w:numId="11" w16cid:durableId="982006615">
    <w:abstractNumId w:val="1"/>
  </w:num>
  <w:num w:numId="12" w16cid:durableId="218714230">
    <w:abstractNumId w:val="18"/>
  </w:num>
  <w:num w:numId="13" w16cid:durableId="614336060">
    <w:abstractNumId w:val="3"/>
  </w:num>
  <w:num w:numId="14" w16cid:durableId="1950158556">
    <w:abstractNumId w:val="26"/>
  </w:num>
  <w:num w:numId="15" w16cid:durableId="1732997332">
    <w:abstractNumId w:val="8"/>
  </w:num>
  <w:num w:numId="16" w16cid:durableId="820119667">
    <w:abstractNumId w:val="6"/>
  </w:num>
  <w:num w:numId="17" w16cid:durableId="431517082">
    <w:abstractNumId w:val="13"/>
  </w:num>
  <w:num w:numId="18" w16cid:durableId="1329404831">
    <w:abstractNumId w:val="23"/>
  </w:num>
  <w:num w:numId="19" w16cid:durableId="1545292938">
    <w:abstractNumId w:val="25"/>
  </w:num>
  <w:num w:numId="20" w16cid:durableId="844517896">
    <w:abstractNumId w:val="21"/>
  </w:num>
  <w:num w:numId="21" w16cid:durableId="95757432">
    <w:abstractNumId w:val="24"/>
  </w:num>
  <w:num w:numId="22" w16cid:durableId="1309165243">
    <w:abstractNumId w:val="5"/>
  </w:num>
  <w:num w:numId="23" w16cid:durableId="1277902787">
    <w:abstractNumId w:val="17"/>
  </w:num>
  <w:num w:numId="24" w16cid:durableId="1647735437">
    <w:abstractNumId w:val="22"/>
  </w:num>
  <w:num w:numId="25" w16cid:durableId="93982555">
    <w:abstractNumId w:val="2"/>
  </w:num>
  <w:num w:numId="26" w16cid:durableId="1260721058">
    <w:abstractNumId w:val="7"/>
  </w:num>
  <w:num w:numId="27" w16cid:durableId="1402094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11F47"/>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A1D1E"/>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3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iPriority w:val="99"/>
    <w:unhideWhenUsed/>
    <w:rsid w:val="00511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eutsch-am-arbeitsplatz.de/fileadmin/user_upload/PDF/BD_Fachstelle_Brosch%C3%BCre_2012_A4_web.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2022-09-10T12:11:00Z</dcterms:created>
  <dcterms:modified xsi:type="dcterms:W3CDTF">2022-09-10T12:11:00Z</dcterms:modified>
</cp:coreProperties>
</file>