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712B6" w14:textId="0D866078" w:rsidR="00017C2E" w:rsidRPr="00795E0E" w:rsidRDefault="00F74560" w:rsidP="009C199A">
      <w:pPr>
        <w:pStyle w:val="Untertitel"/>
      </w:pPr>
      <w:bookmarkStart w:id="0" w:name="_Hlk504481030"/>
      <w:r>
        <w:drawing>
          <wp:anchor distT="0" distB="0" distL="114300" distR="114300" simplePos="0" relativeHeight="251662848" behindDoc="0" locked="0" layoutInCell="1" allowOverlap="1" wp14:anchorId="1EFBE6E7" wp14:editId="3A778E2E">
            <wp:simplePos x="0" y="0"/>
            <wp:positionH relativeFrom="column">
              <wp:posOffset>5616408</wp:posOffset>
            </wp:positionH>
            <wp:positionV relativeFrom="paragraph">
              <wp:posOffset>-607747</wp:posOffset>
            </wp:positionV>
            <wp:extent cx="689610" cy="68707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961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F23" w:rsidRPr="00795E0E">
        <w:drawing>
          <wp:anchor distT="0" distB="0" distL="114300" distR="114300" simplePos="0" relativeHeight="251661824" behindDoc="0" locked="0" layoutInCell="1" allowOverlap="1" wp14:anchorId="04289130" wp14:editId="4BAA26A1">
            <wp:simplePos x="0" y="0"/>
            <wp:positionH relativeFrom="column">
              <wp:posOffset>-581343</wp:posOffset>
            </wp:positionH>
            <wp:positionV relativeFrom="paragraph">
              <wp:posOffset>-387667</wp:posOffset>
            </wp:positionV>
            <wp:extent cx="1278890" cy="342900"/>
            <wp:effectExtent l="0" t="0" r="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-LiS-Logo-Farb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3429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E99" w:rsidRPr="008E4E99">
        <w:t xml:space="preserve"> </w:t>
      </w:r>
      <w:r w:rsidR="008E4E99" w:rsidRPr="008600BF">
        <w:t>BaCuLit: Vermittlung bildungssprachlicher Lese- und Schreibkompetenzen im Fachunterricht. Ein Handbuch für Sekundarstufen und berufliche Bildung.</w:t>
      </w:r>
    </w:p>
    <w:p w14:paraId="656A491B" w14:textId="77777777" w:rsidR="00795E0E" w:rsidRDefault="006A6148" w:rsidP="00795E0E">
      <w:r>
        <w:rPr>
          <w:noProof/>
          <w:lang w:eastAsia="de-DE"/>
        </w:rPr>
        <mc:AlternateContent>
          <mc:Choice Requires="wpg">
            <w:drawing>
              <wp:anchor distT="152400" distB="152400" distL="152400" distR="152400" simplePos="0" relativeHeight="251658752" behindDoc="0" locked="0" layoutInCell="1" allowOverlap="1" wp14:anchorId="7DB689AA" wp14:editId="5ECC3A63">
                <wp:simplePos x="0" y="0"/>
                <wp:positionH relativeFrom="margin">
                  <wp:posOffset>15240</wp:posOffset>
                </wp:positionH>
                <wp:positionV relativeFrom="line">
                  <wp:posOffset>47943</wp:posOffset>
                </wp:positionV>
                <wp:extent cx="6032500" cy="37465"/>
                <wp:effectExtent l="19050" t="0" r="0" b="0"/>
                <wp:wrapNone/>
                <wp:docPr id="3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flipH="1">
                          <a:off x="0" y="0"/>
                          <a:ext cx="6032500" cy="37465"/>
                          <a:chOff x="-1" y="0"/>
                          <a:chExt cx="6032502" cy="37743"/>
                        </a:xfrm>
                      </wpg:grpSpPr>
                      <wps:wsp>
                        <wps:cNvPr id="4" name="Shape 1073741838"/>
                        <wps:cNvCnPr/>
                        <wps:spPr>
                          <a:xfrm>
                            <a:off x="4829048" y="18870"/>
                            <a:ext cx="1200605" cy="1"/>
                          </a:xfrm>
                          <a:prstGeom prst="line">
                            <a:avLst/>
                          </a:prstGeom>
                          <a:noFill/>
                          <a:ln w="38100" cap="flat">
                            <a:solidFill>
                              <a:srgbClr val="D0D0E1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5" name="Shape 1073741839"/>
                        <wps:cNvCnPr/>
                        <wps:spPr>
                          <a:xfrm>
                            <a:off x="22361" y="18870"/>
                            <a:ext cx="1203380" cy="1"/>
                          </a:xfrm>
                          <a:prstGeom prst="line">
                            <a:avLst/>
                          </a:prstGeom>
                          <a:noFill/>
                          <a:ln w="38100" cap="flat">
                            <a:solidFill>
                              <a:srgbClr val="9EAECD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6" name="Group 1073741848"/>
                        <wpg:cNvGrpSpPr/>
                        <wpg:grpSpPr>
                          <a:xfrm>
                            <a:off x="-1" y="0"/>
                            <a:ext cx="6032502" cy="37743"/>
                            <a:chOff x="0" y="0"/>
                            <a:chExt cx="6032501" cy="37742"/>
                          </a:xfrm>
                        </wpg:grpSpPr>
                        <wps:wsp>
                          <wps:cNvPr id="9" name="Shape 1073741840"/>
                          <wps:cNvCnPr/>
                          <wps:spPr>
                            <a:xfrm>
                              <a:off x="2428877" y="18870"/>
                              <a:ext cx="1200912" cy="1"/>
                            </a:xfrm>
                            <a:prstGeom prst="line">
                              <a:avLst/>
                            </a:prstGeom>
                            <a:noFill/>
                            <a:ln w="38100" cap="flat">
                              <a:solidFill>
                                <a:srgbClr val="6C899F"/>
                              </a:solidFill>
                              <a:prstDash val="solid"/>
                              <a:miter lim="400000"/>
                            </a:ln>
                            <a:effectLst/>
                          </wps:spPr>
                          <wps:bodyPr/>
                        </wps:wsp>
                        <wpg:grpSp>
                          <wpg:cNvPr id="10" name="Group 1073741847"/>
                          <wpg:cNvGrpSpPr/>
                          <wpg:grpSpPr>
                            <a:xfrm>
                              <a:off x="0" y="0"/>
                              <a:ext cx="6032501" cy="37742"/>
                              <a:chOff x="0" y="0"/>
                              <a:chExt cx="6032500" cy="37741"/>
                            </a:xfrm>
                          </wpg:grpSpPr>
                          <wps:wsp>
                            <wps:cNvPr id="11" name="Shape 1073741841"/>
                            <wps:cNvSpPr/>
                            <wps:spPr>
                              <a:xfrm>
                                <a:off x="600008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9EAECD"/>
                                  </a:gs>
                                  <a:gs pos="100000">
                                    <a:srgbClr val="8EC2CD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" name="Shape 1073741842"/>
                            <wps:cNvSpPr/>
                            <wps:spPr>
                              <a:xfrm>
                                <a:off x="1858011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8EC2CD"/>
                                  </a:gs>
                                  <a:gs pos="100000">
                                    <a:srgbClr val="6C899F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3" name="Shape 1073741843"/>
                            <wps:cNvSpPr/>
                            <wps:spPr>
                              <a:xfrm>
                                <a:off x="0" y="0"/>
                                <a:ext cx="600009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9EAECD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1080000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4" name="Shape 1073741844"/>
                            <wps:cNvSpPr/>
                            <wps:spPr>
                              <a:xfrm>
                                <a:off x="3300871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6C899F"/>
                                  </a:gs>
                                  <a:gs pos="100000">
                                    <a:srgbClr val="5B3150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5" name="Shape 1073741845"/>
                            <wps:cNvSpPr/>
                            <wps:spPr>
                              <a:xfrm>
                                <a:off x="4436776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5B3150"/>
                                  </a:gs>
                                  <a:gs pos="100000">
                                    <a:srgbClr val="D0D0E1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6" name="Shape 1073741846"/>
                            <wps:cNvSpPr/>
                            <wps:spPr>
                              <a:xfrm>
                                <a:off x="5833074" y="0"/>
                                <a:ext cx="199426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0D0E1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33D0B3" id="officeArt object" o:spid="_x0000_s1026" style="position:absolute;margin-left:1.2pt;margin-top:3.8pt;width:475pt;height:2.95pt;flip:x;z-index:251658752;mso-wrap-distance-left:12pt;mso-wrap-distance-top:12pt;mso-wrap-distance-right:12pt;mso-wrap-distance-bottom:12pt;mso-position-horizontal-relative:margin;mso-position-vertical-relative:line;mso-height-relative:margin" coordorigin="" coordsize="60325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">
                <v:line id="Shape 1073741838" o:spid="_x0000_s1027" style="position:absolute;visibility:visible;mso-wrap-style:square" from="48290,188" to="60296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" strokecolor="#d0d0e1" strokeweight="3pt">
                  <v:stroke miterlimit="4" joinstyle="miter"/>
                </v:line>
                <v:line id="Shape 1073741839" o:spid="_x0000_s1028" style="position:absolute;visibility:visible;mso-wrap-style:square" from="223,188" to="12257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" strokecolor="#9eaecd" strokeweight="3pt">
                  <v:stroke miterlimit="4" joinstyle="miter"/>
                </v:line>
                <v:group id="Group 1073741848" o:spid="_x0000_s1029" style="position:absolute;width:60325;height:377" coordsize="6032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line id="Shape 1073741840" o:spid="_x0000_s1030" style="position:absolute;visibility:visible;mso-wrap-style:square" from="24288,188" to="36297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" strokecolor="#6c899f" strokeweight="3pt">
                    <v:stroke miterlimit="4" joinstyle="miter"/>
                  </v:line>
                  <v:group id="Group 1073741847" o:spid="_x0000_s1031" style="position:absolute;width:60325;height:377" coordsize="6032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rect id="Shape 1073741841" o:spid="_x0000_s1032" style="position:absolute;left:6000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" fillcolor="#9eaecd" stroked="f" strokeweight="1pt">
                      <v:fill color2="#8ec2cd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2" o:spid="_x0000_s1033" style="position:absolute;left:18580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" fillcolor="#8ec2cd" stroked="f" strokeweight="1pt">
                      <v:fill color2="#6c899f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3" o:spid="_x0000_s1034" style="position:absolute;width:600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" fillcolor="#9eaecd" stroked="f" strokeweight="1pt">
                      <v:fill rotate="t" angle="270" focus="100%" type="gradient">
                        <o:fill v:ext="view" type="gradientUnscaled"/>
                      </v:fill>
                      <v:stroke miterlimit="4"/>
                    </v:rect>
                    <v:rect id="Shape 1073741844" o:spid="_x0000_s1035" style="position:absolute;left:33008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" fillcolor="#6c899f" stroked="f" strokeweight="1pt">
                      <v:fill color2="#5b3150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5" o:spid="_x0000_s1036" style="position:absolute;left:44367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" fillcolor="#5b3150" stroked="f" strokeweight="1pt">
                      <v:fill color2="#d0d0e1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6" o:spid="_x0000_s1037" style="position:absolute;left:58330;width:1995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" fillcolor="#d0d0e1" stroked="f" strokeweight="1pt">
                      <v:fill rotate="t" angle="90" focus="100%" type="gradient">
                        <o:fill v:ext="view" type="gradientUnscaled"/>
                      </v:fill>
                      <v:stroke miterlimit="4"/>
                    </v:rect>
                  </v:group>
                </v:group>
                <w10:wrap anchorx="margin" anchory="line"/>
              </v:group>
            </w:pict>
          </mc:Fallback>
        </mc:AlternateContent>
      </w:r>
      <w:bookmarkEnd w:id="0"/>
    </w:p>
    <w:p w14:paraId="506CBF44" w14:textId="77777777" w:rsidR="00CD48EF" w:rsidRPr="00197939" w:rsidRDefault="00CD48EF" w:rsidP="00CD4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b/>
          <w:sz w:val="32"/>
          <w:szCs w:val="32"/>
        </w:rPr>
      </w:pPr>
      <w:r>
        <w:rPr>
          <w:rFonts w:cs="Calibri"/>
          <w:b/>
          <w:smallCaps/>
          <w:sz w:val="32"/>
          <w:szCs w:val="32"/>
        </w:rPr>
        <w:t>Merkmale der Bildungssprache</w:t>
      </w:r>
    </w:p>
    <w:p w14:paraId="76F27B07" w14:textId="77777777" w:rsidR="00CD48EF" w:rsidRDefault="00CD48EF" w:rsidP="00CD48EF">
      <w:pPr>
        <w:spacing w:after="60" w:line="276" w:lineRule="auto"/>
        <w:rPr>
          <w:b/>
        </w:rPr>
      </w:pPr>
      <w:r>
        <w:rPr>
          <w:b/>
        </w:rPr>
        <w:t xml:space="preserve">Aufgabe 2: </w:t>
      </w:r>
    </w:p>
    <w:p w14:paraId="4F66A7E4" w14:textId="77777777" w:rsidR="00CD48EF" w:rsidRPr="00E23BE2" w:rsidRDefault="00CD48EF" w:rsidP="00CD48EF">
      <w:pPr>
        <w:pStyle w:val="Listenabsatz"/>
        <w:numPr>
          <w:ilvl w:val="0"/>
          <w:numId w:val="27"/>
        </w:numPr>
        <w:spacing w:after="60"/>
      </w:pPr>
      <w:r w:rsidRPr="00E23BE2">
        <w:t>Lesen Sie „</w:t>
      </w:r>
      <w:r>
        <w:t xml:space="preserve">Welche </w:t>
      </w:r>
      <w:r w:rsidRPr="00E23BE2">
        <w:t xml:space="preserve">Merkmale </w:t>
      </w:r>
      <w:r>
        <w:t>hat</w:t>
      </w:r>
      <w:r w:rsidRPr="00E23BE2">
        <w:t xml:space="preserve"> Bildungssprache</w:t>
      </w:r>
      <w:r>
        <w:t>?</w:t>
      </w:r>
      <w:r w:rsidRPr="00E23BE2">
        <w:t xml:space="preserve">“. </w:t>
      </w:r>
    </w:p>
    <w:p w14:paraId="3043A27B" w14:textId="77777777" w:rsidR="00CD48EF" w:rsidRPr="00E23BE2" w:rsidRDefault="00CD48EF" w:rsidP="00CD48EF">
      <w:pPr>
        <w:pStyle w:val="Listenabsatz"/>
        <w:numPr>
          <w:ilvl w:val="0"/>
          <w:numId w:val="27"/>
        </w:numPr>
        <w:spacing w:after="60"/>
      </w:pPr>
      <w:r w:rsidRPr="00E23BE2">
        <w:t>Erläutern Sie im unten abgedruckten Beispiel die sprachlichen Unterschiede zwischen den Sätzen 1 bis 4.</w:t>
      </w:r>
    </w:p>
    <w:p w14:paraId="2DBD1B8E" w14:textId="77777777" w:rsidR="00CD48EF" w:rsidRDefault="00CD48EF" w:rsidP="00CD48EF">
      <w:pPr>
        <w:spacing w:after="60" w:line="276" w:lineRule="auto"/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920"/>
      </w:tblGrid>
      <w:tr w:rsidR="00CD48EF" w14:paraId="47FF4AEA" w14:textId="77777777" w:rsidTr="00DA3D8F">
        <w:tc>
          <w:tcPr>
            <w:tcW w:w="8920" w:type="dxa"/>
          </w:tcPr>
          <w:p w14:paraId="4AD6EC61" w14:textId="77777777" w:rsidR="00CD48EF" w:rsidRPr="00641648" w:rsidRDefault="00CD48EF" w:rsidP="00CD48EF">
            <w:pPr>
              <w:spacing w:after="60" w:line="276" w:lineRule="auto"/>
              <w:rPr>
                <w:b/>
                <w:sz w:val="28"/>
              </w:rPr>
            </w:pPr>
            <w:r w:rsidRPr="00641648">
              <w:rPr>
                <w:b/>
                <w:bCs/>
                <w:sz w:val="28"/>
              </w:rPr>
              <w:t>Welche Merkmale hat Bildungssprache?</w:t>
            </w:r>
          </w:p>
          <w:p w14:paraId="32371E41" w14:textId="77777777" w:rsidR="00CD48EF" w:rsidRPr="007F7C91" w:rsidRDefault="00CD48EF" w:rsidP="00CD48EF">
            <w:pPr>
              <w:spacing w:after="60" w:line="276" w:lineRule="auto"/>
            </w:pPr>
            <w:r w:rsidRPr="00641648">
              <w:rPr>
                <w:b/>
              </w:rPr>
              <w:t>Diskursive Merkmale</w:t>
            </w:r>
            <w:r w:rsidRPr="007F7C91">
              <w:t xml:space="preserve"> betreffen den Rahmen und die Formen, die kennzeichnend für Bildungssprache sind, z.B.:</w:t>
            </w:r>
          </w:p>
          <w:p w14:paraId="0790755D" w14:textId="77777777" w:rsidR="00CD48EF" w:rsidRPr="007F7C91" w:rsidRDefault="00CD48EF" w:rsidP="00CD48EF">
            <w:pPr>
              <w:numPr>
                <w:ilvl w:val="0"/>
                <w:numId w:val="25"/>
              </w:numPr>
              <w:tabs>
                <w:tab w:val="clear" w:pos="720"/>
              </w:tabs>
              <w:spacing w:after="60" w:line="276" w:lineRule="auto"/>
              <w:ind w:left="168" w:hanging="168"/>
              <w:jc w:val="left"/>
            </w:pPr>
            <w:r w:rsidRPr="007F7C91">
              <w:t>eine klare Festlegung von Sprecherrollen und Sprecherwechsel;</w:t>
            </w:r>
          </w:p>
          <w:p w14:paraId="4BF32AC7" w14:textId="77777777" w:rsidR="00CD48EF" w:rsidRPr="007F7C91" w:rsidRDefault="00CD48EF" w:rsidP="00CD48EF">
            <w:pPr>
              <w:numPr>
                <w:ilvl w:val="0"/>
                <w:numId w:val="25"/>
              </w:numPr>
              <w:tabs>
                <w:tab w:val="clear" w:pos="720"/>
              </w:tabs>
              <w:spacing w:after="60" w:line="276" w:lineRule="auto"/>
              <w:ind w:left="168" w:hanging="168"/>
              <w:jc w:val="left"/>
            </w:pPr>
            <w:r w:rsidRPr="007F7C91">
              <w:t>ein hoher Anteil monologischer Formen (z.B. Vortrag, Referat, Aufsatz);</w:t>
            </w:r>
          </w:p>
          <w:p w14:paraId="4ABD04C3" w14:textId="77777777" w:rsidR="00CD48EF" w:rsidRPr="007F7C91" w:rsidRDefault="00CD48EF" w:rsidP="00CD48EF">
            <w:pPr>
              <w:numPr>
                <w:ilvl w:val="0"/>
                <w:numId w:val="25"/>
              </w:numPr>
              <w:tabs>
                <w:tab w:val="clear" w:pos="720"/>
              </w:tabs>
              <w:spacing w:after="60" w:line="276" w:lineRule="auto"/>
              <w:ind w:left="168" w:hanging="168"/>
              <w:jc w:val="left"/>
            </w:pPr>
            <w:r w:rsidRPr="007F7C91">
              <w:t>fachgruppentypische Textsorten (z.B. Protokoll, Bericht, Erörterung);</w:t>
            </w:r>
          </w:p>
          <w:p w14:paraId="506C78F7" w14:textId="77777777" w:rsidR="00CD48EF" w:rsidRPr="007F7C91" w:rsidRDefault="00CD48EF" w:rsidP="00CD48EF">
            <w:pPr>
              <w:numPr>
                <w:ilvl w:val="0"/>
                <w:numId w:val="25"/>
              </w:numPr>
              <w:tabs>
                <w:tab w:val="clear" w:pos="720"/>
              </w:tabs>
              <w:spacing w:after="60" w:line="276" w:lineRule="auto"/>
              <w:ind w:left="168" w:hanging="168"/>
              <w:jc w:val="left"/>
            </w:pPr>
            <w:r w:rsidRPr="007F7C91">
              <w:t>stilistische Konventionen (z.B. Sachlichkeit, logische Gliederung, angemessene Textlänge).</w:t>
            </w:r>
          </w:p>
          <w:p w14:paraId="6C698A8C" w14:textId="77777777" w:rsidR="00CD48EF" w:rsidRDefault="00CD48EF" w:rsidP="00CD48EF">
            <w:pPr>
              <w:spacing w:after="60" w:line="276" w:lineRule="auto"/>
              <w:rPr>
                <w:b/>
              </w:rPr>
            </w:pPr>
          </w:p>
          <w:p w14:paraId="27F50F80" w14:textId="77777777" w:rsidR="00CD48EF" w:rsidRPr="007F7C91" w:rsidRDefault="00CD48EF" w:rsidP="00CD48EF">
            <w:pPr>
              <w:spacing w:after="60" w:line="276" w:lineRule="auto"/>
            </w:pPr>
            <w:r w:rsidRPr="00641648">
              <w:rPr>
                <w:b/>
              </w:rPr>
              <w:t>Lexikalisch-semantische Merkmale</w:t>
            </w:r>
            <w:r w:rsidRPr="007F7C91">
              <w:t xml:space="preserve"> beziehen sich auf Eigenarten des Wortschatzes und einzelne Bedeutungen. Kennzeichnend für Bildungssprache sind</w:t>
            </w:r>
          </w:p>
          <w:p w14:paraId="7F60780A" w14:textId="77777777" w:rsidR="00CD48EF" w:rsidRPr="007F7C91" w:rsidRDefault="00CD48EF" w:rsidP="00CD48EF">
            <w:pPr>
              <w:numPr>
                <w:ilvl w:val="0"/>
                <w:numId w:val="25"/>
              </w:numPr>
              <w:tabs>
                <w:tab w:val="clear" w:pos="720"/>
              </w:tabs>
              <w:spacing w:after="60" w:line="276" w:lineRule="auto"/>
              <w:ind w:left="168" w:hanging="168"/>
              <w:jc w:val="left"/>
            </w:pPr>
            <w:r w:rsidRPr="007F7C91">
              <w:t>differenzierende und abstrahierende Ausdrücke (z.B. ‚nach oben transportieren‘ statt ‚raufbringen’);</w:t>
            </w:r>
          </w:p>
          <w:p w14:paraId="32EA0FF8" w14:textId="77777777" w:rsidR="00CD48EF" w:rsidRPr="007F7C91" w:rsidRDefault="00CD48EF" w:rsidP="00CD48EF">
            <w:pPr>
              <w:numPr>
                <w:ilvl w:val="0"/>
                <w:numId w:val="25"/>
              </w:numPr>
              <w:tabs>
                <w:tab w:val="clear" w:pos="720"/>
              </w:tabs>
              <w:spacing w:after="60" w:line="276" w:lineRule="auto"/>
              <w:ind w:left="168" w:hanging="168"/>
              <w:jc w:val="left"/>
            </w:pPr>
            <w:r w:rsidRPr="007F7C91">
              <w:t>Präfixverben, darunter viele mit untrennbarem Präfix und mit Reflexivpronomen (z.B. ‚erhitzen’, ‚sich entfalten’, ‚sich beziehen’);</w:t>
            </w:r>
          </w:p>
          <w:p w14:paraId="58736C24" w14:textId="77777777" w:rsidR="00CD48EF" w:rsidRPr="007F7C91" w:rsidRDefault="00CD48EF" w:rsidP="00CD48EF">
            <w:pPr>
              <w:numPr>
                <w:ilvl w:val="0"/>
                <w:numId w:val="25"/>
              </w:numPr>
              <w:tabs>
                <w:tab w:val="clear" w:pos="720"/>
              </w:tabs>
              <w:spacing w:after="60" w:line="276" w:lineRule="auto"/>
              <w:ind w:left="168" w:hanging="168"/>
              <w:jc w:val="left"/>
            </w:pPr>
            <w:r w:rsidRPr="007F7C91">
              <w:t>nominale Zusammensetzungen (z.B. ‚Winkelmesser’);</w:t>
            </w:r>
          </w:p>
          <w:p w14:paraId="5F08931E" w14:textId="77777777" w:rsidR="00CD48EF" w:rsidRPr="007F7C91" w:rsidRDefault="00CD48EF" w:rsidP="00CD48EF">
            <w:pPr>
              <w:numPr>
                <w:ilvl w:val="0"/>
                <w:numId w:val="25"/>
              </w:numPr>
              <w:tabs>
                <w:tab w:val="clear" w:pos="720"/>
              </w:tabs>
              <w:spacing w:after="60" w:line="276" w:lineRule="auto"/>
              <w:ind w:left="168" w:hanging="168"/>
              <w:jc w:val="left"/>
            </w:pPr>
            <w:r w:rsidRPr="007F7C91">
              <w:t>normierte Fachbegriffe (z.B. ‚rechtwinklig’; ‚Dreisatz’).</w:t>
            </w:r>
          </w:p>
          <w:p w14:paraId="6700D145" w14:textId="77777777" w:rsidR="00CD48EF" w:rsidRDefault="00CD48EF" w:rsidP="00CD48EF">
            <w:pPr>
              <w:spacing w:after="60" w:line="276" w:lineRule="auto"/>
              <w:rPr>
                <w:b/>
              </w:rPr>
            </w:pPr>
          </w:p>
          <w:p w14:paraId="25692912" w14:textId="77777777" w:rsidR="00CD48EF" w:rsidRPr="007F7C91" w:rsidRDefault="00CD48EF" w:rsidP="00CD48EF">
            <w:pPr>
              <w:spacing w:after="60" w:line="276" w:lineRule="auto"/>
            </w:pPr>
            <w:r w:rsidRPr="00641648">
              <w:rPr>
                <w:b/>
              </w:rPr>
              <w:t>Syntaktische Merkmale</w:t>
            </w:r>
            <w:r w:rsidRPr="007F7C91">
              <w:t xml:space="preserve"> der Bildungssprache beziehen sich auf Besonderheiten im Satzbau:</w:t>
            </w:r>
          </w:p>
          <w:p w14:paraId="4E596BAF" w14:textId="77777777" w:rsidR="00CD48EF" w:rsidRPr="007F7C91" w:rsidRDefault="00CD48EF" w:rsidP="00CD48EF">
            <w:pPr>
              <w:numPr>
                <w:ilvl w:val="0"/>
                <w:numId w:val="25"/>
              </w:numPr>
              <w:tabs>
                <w:tab w:val="clear" w:pos="720"/>
              </w:tabs>
              <w:spacing w:after="60" w:line="276" w:lineRule="auto"/>
              <w:ind w:left="168" w:hanging="168"/>
              <w:jc w:val="left"/>
            </w:pPr>
            <w:r w:rsidRPr="007F7C91">
              <w:t>explizite Markierungen der Kohäsion (also des Textzusammenhangs);</w:t>
            </w:r>
          </w:p>
          <w:p w14:paraId="5784F1BD" w14:textId="77777777" w:rsidR="00CD48EF" w:rsidRPr="007F7C91" w:rsidRDefault="00CD48EF" w:rsidP="00CD48EF">
            <w:pPr>
              <w:numPr>
                <w:ilvl w:val="0"/>
                <w:numId w:val="25"/>
              </w:numPr>
              <w:tabs>
                <w:tab w:val="clear" w:pos="720"/>
              </w:tabs>
              <w:spacing w:after="60" w:line="276" w:lineRule="auto"/>
              <w:ind w:left="168" w:hanging="168"/>
              <w:jc w:val="left"/>
            </w:pPr>
            <w:r w:rsidRPr="007F7C91">
              <w:t>Satzgefüge (z.B. Konjunktionalsätze, Relativsätze, erweiterte Infinitive);</w:t>
            </w:r>
          </w:p>
          <w:p w14:paraId="223ABF59" w14:textId="77777777" w:rsidR="00CD48EF" w:rsidRPr="007F7C91" w:rsidRDefault="00CD48EF" w:rsidP="00CD48EF">
            <w:pPr>
              <w:numPr>
                <w:ilvl w:val="0"/>
                <w:numId w:val="25"/>
              </w:numPr>
              <w:tabs>
                <w:tab w:val="clear" w:pos="720"/>
              </w:tabs>
              <w:spacing w:after="60" w:line="276" w:lineRule="auto"/>
              <w:ind w:left="168" w:hanging="168"/>
              <w:jc w:val="left"/>
            </w:pPr>
            <w:r w:rsidRPr="007F7C91">
              <w:t>unpersönliche Konstruktionen (z.B. Passivsätze, man-Sätze);</w:t>
            </w:r>
          </w:p>
          <w:p w14:paraId="42CB6B16" w14:textId="77777777" w:rsidR="00CD48EF" w:rsidRPr="007F7C91" w:rsidRDefault="00CD48EF" w:rsidP="00CD48EF">
            <w:pPr>
              <w:numPr>
                <w:ilvl w:val="0"/>
                <w:numId w:val="25"/>
              </w:numPr>
              <w:tabs>
                <w:tab w:val="clear" w:pos="720"/>
              </w:tabs>
              <w:spacing w:after="60" w:line="276" w:lineRule="auto"/>
              <w:ind w:left="168" w:hanging="168"/>
              <w:jc w:val="left"/>
            </w:pPr>
            <w:r w:rsidRPr="007F7C91">
              <w:t>Funktionsverbgefüge (z.B. ‚zur Explosion bringen’, ‚einer Prüfung unterziehen’, ‚in Betrieb nehmen’);</w:t>
            </w:r>
          </w:p>
          <w:p w14:paraId="10D7F5D9" w14:textId="77777777" w:rsidR="00CD48EF" w:rsidRPr="009C3559" w:rsidRDefault="00CD48EF" w:rsidP="00CD48EF">
            <w:pPr>
              <w:numPr>
                <w:ilvl w:val="0"/>
                <w:numId w:val="25"/>
              </w:numPr>
              <w:tabs>
                <w:tab w:val="clear" w:pos="720"/>
              </w:tabs>
              <w:spacing w:after="60" w:line="276" w:lineRule="auto"/>
              <w:ind w:left="168" w:hanging="168"/>
              <w:jc w:val="left"/>
            </w:pPr>
            <w:r w:rsidRPr="007F7C91">
              <w:t xml:space="preserve">umfängliche Attribute (z.B. ‚die nach oben offene Richter-Skala’, ‚der sich daraus ergebende Schluss’). (Reich, nach Gogolin &amp; </w:t>
            </w:r>
            <w:proofErr w:type="gramStart"/>
            <w:r w:rsidRPr="007F7C91">
              <w:t>Lange</w:t>
            </w:r>
            <w:proofErr w:type="gramEnd"/>
            <w:r w:rsidRPr="007F7C91">
              <w:t xml:space="preserve"> 2010</w:t>
            </w:r>
            <w:r>
              <w:t>, 113f.</w:t>
            </w:r>
            <w:r w:rsidRPr="007F7C91">
              <w:t>)</w:t>
            </w:r>
          </w:p>
        </w:tc>
      </w:tr>
    </w:tbl>
    <w:p w14:paraId="27E9DEFB" w14:textId="77777777" w:rsidR="00CD48EF" w:rsidRPr="004A7F33" w:rsidRDefault="00CD48EF" w:rsidP="00CD48EF">
      <w:pPr>
        <w:spacing w:line="276" w:lineRule="auto"/>
        <w:rPr>
          <w:rFonts w:asciiTheme="minorHAnsi" w:hAnsiTheme="minorHAnsi" w:cstheme="minorHAnsi"/>
          <w:sz w:val="16"/>
          <w:lang w:eastAsia="de-DE"/>
        </w:rPr>
      </w:pPr>
      <w:r>
        <w:rPr>
          <w:rFonts w:asciiTheme="minorHAnsi" w:hAnsiTheme="minorHAnsi" w:cstheme="minorHAnsi"/>
          <w:sz w:val="16"/>
        </w:rPr>
        <w:t xml:space="preserve">aus: </w:t>
      </w:r>
      <w:r w:rsidRPr="004A7F33">
        <w:rPr>
          <w:rFonts w:asciiTheme="minorHAnsi" w:hAnsiTheme="minorHAnsi" w:cstheme="minorHAnsi"/>
          <w:sz w:val="16"/>
        </w:rPr>
        <w:t xml:space="preserve">Gogolin, Ingrid &amp; Lange, Imke (2010). Bildungssprache und Durchgängige Sprachbildung. In Sara Fürstenau &amp; Mechtild Gomolla (Hrsg.), </w:t>
      </w:r>
      <w:r w:rsidRPr="004A7F33">
        <w:rPr>
          <w:rFonts w:asciiTheme="minorHAnsi" w:hAnsiTheme="minorHAnsi" w:cstheme="minorHAnsi"/>
          <w:i/>
          <w:iCs/>
          <w:sz w:val="16"/>
        </w:rPr>
        <w:t>Migration und schulischer Wandel: Mehrsprachigkeit</w:t>
      </w:r>
      <w:r w:rsidRPr="004A7F33">
        <w:rPr>
          <w:rFonts w:asciiTheme="minorHAnsi" w:hAnsiTheme="minorHAnsi" w:cstheme="minorHAnsi"/>
          <w:sz w:val="16"/>
        </w:rPr>
        <w:t xml:space="preserve"> (S. 107–127). Wiesbaden: VS-Verlag.</w:t>
      </w:r>
    </w:p>
    <w:p w14:paraId="521C1335" w14:textId="4C5E8687" w:rsidR="00CD48EF" w:rsidRDefault="00CD48EF" w:rsidP="00CD48EF">
      <w:pPr>
        <w:spacing w:after="60" w:line="276" w:lineRule="auto"/>
        <w:rPr>
          <w:b/>
        </w:rPr>
      </w:pPr>
    </w:p>
    <w:p w14:paraId="615BB851" w14:textId="77777777" w:rsidR="00CD48EF" w:rsidRDefault="00CD48EF" w:rsidP="00CD48EF">
      <w:pPr>
        <w:spacing w:after="60" w:line="276" w:lineRule="auto"/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920"/>
      </w:tblGrid>
      <w:tr w:rsidR="00CD48EF" w:rsidRPr="001020B8" w14:paraId="68A66998" w14:textId="77777777" w:rsidTr="00DA3D8F">
        <w:tc>
          <w:tcPr>
            <w:tcW w:w="8920" w:type="dxa"/>
          </w:tcPr>
          <w:p w14:paraId="1A19B1CC" w14:textId="77777777" w:rsidR="00CD48EF" w:rsidRPr="007F7C91" w:rsidRDefault="00CD48EF" w:rsidP="00CD48EF">
            <w:pPr>
              <w:spacing w:after="60" w:line="276" w:lineRule="auto"/>
              <w:rPr>
                <w:b/>
              </w:rPr>
            </w:pPr>
            <w:r w:rsidRPr="00641648">
              <w:rPr>
                <w:b/>
                <w:sz w:val="28"/>
              </w:rPr>
              <w:lastRenderedPageBreak/>
              <w:t>Erläutern Sie die sprachlichen Untersch</w:t>
            </w:r>
            <w:r>
              <w:rPr>
                <w:b/>
                <w:sz w:val="28"/>
              </w:rPr>
              <w:t>iede zwischen den Sätzen 1-4</w:t>
            </w:r>
            <w:r w:rsidRPr="00641648">
              <w:rPr>
                <w:b/>
                <w:sz w:val="28"/>
              </w:rPr>
              <w:t>.</w:t>
            </w:r>
          </w:p>
          <w:p w14:paraId="66C694E8" w14:textId="77777777" w:rsidR="00CD48EF" w:rsidRPr="007F7C91" w:rsidRDefault="00CD48EF" w:rsidP="00CD48EF">
            <w:pPr>
              <w:pStyle w:val="Listenabsatz"/>
              <w:numPr>
                <w:ilvl w:val="0"/>
                <w:numId w:val="26"/>
              </w:numPr>
              <w:spacing w:after="60"/>
              <w:ind w:left="310" w:hanging="310"/>
            </w:pPr>
            <w:r w:rsidRPr="007F7C91">
              <w:t>„Als ich die Flüssigkeit abgoss, sah ich einen braunen Bodensatz.“</w:t>
            </w:r>
          </w:p>
          <w:p w14:paraId="6B4B7227" w14:textId="77777777" w:rsidR="00CD48EF" w:rsidRPr="007F7C91" w:rsidRDefault="00CD48EF" w:rsidP="00CD48EF">
            <w:pPr>
              <w:pStyle w:val="Listenabsatz"/>
              <w:numPr>
                <w:ilvl w:val="0"/>
                <w:numId w:val="26"/>
              </w:numPr>
              <w:spacing w:after="60"/>
              <w:ind w:left="310" w:hanging="310"/>
            </w:pPr>
            <w:r w:rsidRPr="007F7C91">
              <w:t xml:space="preserve">„Wenn man die Flüssigkeit abgießt, sieht man einen braunen Bodensatz.“ </w:t>
            </w:r>
          </w:p>
          <w:p w14:paraId="48673542" w14:textId="77777777" w:rsidR="00CD48EF" w:rsidRPr="007F7C91" w:rsidRDefault="00CD48EF" w:rsidP="00CD48EF">
            <w:pPr>
              <w:pStyle w:val="Listenabsatz"/>
              <w:numPr>
                <w:ilvl w:val="0"/>
                <w:numId w:val="26"/>
              </w:numPr>
              <w:spacing w:after="60"/>
              <w:ind w:left="310" w:hanging="310"/>
            </w:pPr>
            <w:r w:rsidRPr="007F7C91">
              <w:t>„Wird die Flüssigkeit abgegossen, zeigt sich brauner Bodensatz.“</w:t>
            </w:r>
          </w:p>
          <w:p w14:paraId="3A72FED1" w14:textId="77777777" w:rsidR="00CD48EF" w:rsidRPr="009C3559" w:rsidRDefault="00CD48EF" w:rsidP="00CD48EF">
            <w:pPr>
              <w:pStyle w:val="Listenabsatz"/>
              <w:numPr>
                <w:ilvl w:val="0"/>
                <w:numId w:val="26"/>
              </w:numPr>
              <w:spacing w:after="60"/>
              <w:ind w:left="310" w:hanging="310"/>
              <w:jc w:val="left"/>
            </w:pPr>
            <w:r w:rsidRPr="007F7C91">
              <w:t>„Nach Abgießen der Flüssigkeit ist ein brauner Bodensatz sichtbar.“</w:t>
            </w:r>
            <w:r w:rsidRPr="007F7C91">
              <w:rPr>
                <w:rFonts w:asciiTheme="minorHAnsi" w:eastAsiaTheme="minorEastAsia" w:cstheme="minorBidi"/>
                <w:color w:val="000000" w:themeColor="text1"/>
                <w:kern w:val="24"/>
                <w:sz w:val="32"/>
                <w:szCs w:val="32"/>
                <w:lang w:eastAsia="de-DE"/>
              </w:rPr>
              <w:t xml:space="preserve">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ADDIN ZOTERO_ITEM CSL_CITATION {"citationID":"jKkI3P5O","properties":{"formattedCitation":"(Gogolin, Dirim, Klinger, Lange, Lengyel, Michel, Neumann, Reich, Roth &amp; Schwippert, 2011, S. 200f.)","plainCitation":"(Gogolin, Dirim, Klinger, Lange, Lengyel, Michel, Neumann, Reich, Roth &amp; Schwippert, 2011, S. 200f.)","noteIndex":0},"citationItems":[{"id":9509,"uris":["http://zotero.org/users/1509808/items/T5CGXJDZ"],"uri":["http://zotero.org/users/1509808/items/T5CGXJDZ"],"itemData":{"id":9509,"type":"book","event-place":"Münster","publisher":"Waxmann","publisher-place":"Münster","title":"Förderung von Kindern und Jugendlichen mit Migrationshintergrund FörMig. Bilanz und Perspektiven eines Modellprogramms","author":[{"family":"Gogolin","given":"Ingrid"},{"family":"Dirim","given":"Inci"},{"family":"Klinger","given":"Thorsten"},{"family":"Lange","given":"Imke"},{"family":"Lengyel","given":"Drorit"},{"family":"Michel","given":"Ute"},{"family":"Neumann","given":"Ursula"},{"family":"Reich","given":"Hans H."},{"family":"Roth","given":"Hans-Joachim"},{"family":"Schwippert","given":"Knut"}],"issued":{"date-parts":[["2011"]]}},"locator":"200f."}],"schema":"https://github.com/citation-style-language/schema/raw/master/csl-citation.json"} </w:instrText>
            </w:r>
            <w:r>
              <w:rPr>
                <w:b/>
              </w:rPr>
              <w:fldChar w:fldCharType="separate"/>
            </w:r>
            <w:r>
              <w:rPr>
                <w:rFonts w:cs="Calibri"/>
              </w:rPr>
              <w:t>(Gogolin et al.</w:t>
            </w:r>
            <w:r w:rsidRPr="00DE38DD">
              <w:rPr>
                <w:rFonts w:cs="Calibri"/>
              </w:rPr>
              <w:t xml:space="preserve"> 2011, S. 200f.)</w:t>
            </w:r>
            <w:r>
              <w:rPr>
                <w:b/>
              </w:rPr>
              <w:fldChar w:fldCharType="end"/>
            </w:r>
          </w:p>
        </w:tc>
      </w:tr>
    </w:tbl>
    <w:p w14:paraId="48E981C5" w14:textId="29C87FB0" w:rsidR="009D0472" w:rsidRPr="00CD48EF" w:rsidRDefault="00CD48EF" w:rsidP="00CD48EF">
      <w:pPr>
        <w:spacing w:line="276" w:lineRule="auto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6"/>
        </w:rPr>
        <w:t xml:space="preserve">aus: </w:t>
      </w:r>
      <w:r w:rsidRPr="004A7F33">
        <w:rPr>
          <w:rFonts w:asciiTheme="minorHAnsi" w:hAnsiTheme="minorHAnsi" w:cstheme="minorHAnsi"/>
          <w:sz w:val="16"/>
        </w:rPr>
        <w:t xml:space="preserve">Gogolin, Ingrid; Dirim, Inci; Klinger, Thorsten; Lange, Imke; Lengyel, Drorit; Michel, Ute; Neumann, Ursula; Reich, Hans H.; Roth, Hans-Joachim &amp; Schwippert, Knut (2011). </w:t>
      </w:r>
      <w:r w:rsidRPr="004A7F33">
        <w:rPr>
          <w:rFonts w:asciiTheme="minorHAnsi" w:hAnsiTheme="minorHAnsi" w:cstheme="minorHAnsi"/>
          <w:i/>
          <w:iCs/>
          <w:sz w:val="16"/>
        </w:rPr>
        <w:t>Förderung von Kindern und Jugendlichen mit Migrationshintergrund FörMig. Bilanz und Perspektiven eines Modellprogramms</w:t>
      </w:r>
      <w:r w:rsidRPr="004A7F33">
        <w:rPr>
          <w:rFonts w:asciiTheme="minorHAnsi" w:hAnsiTheme="minorHAnsi" w:cstheme="minorHAnsi"/>
          <w:sz w:val="16"/>
        </w:rPr>
        <w:t>. Münster: Waxmann.</w:t>
      </w:r>
    </w:p>
    <w:sectPr w:rsidR="009D0472" w:rsidRPr="00CD48EF" w:rsidSect="009938FF">
      <w:headerReference w:type="default" r:id="rId9"/>
      <w:footerReference w:type="default" r:id="rId10"/>
      <w:pgSz w:w="11906" w:h="16838"/>
      <w:pgMar w:top="851" w:right="1558" w:bottom="851" w:left="1418" w:header="426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7A942" w14:textId="77777777" w:rsidR="00593038" w:rsidRDefault="00593038" w:rsidP="00795E0E">
      <w:r>
        <w:separator/>
      </w:r>
    </w:p>
  </w:endnote>
  <w:endnote w:type="continuationSeparator" w:id="0">
    <w:p w14:paraId="07C9CE5B" w14:textId="77777777" w:rsidR="00593038" w:rsidRDefault="00593038" w:rsidP="00795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281FD" w14:textId="7EF5BE2A" w:rsidR="008E31A9" w:rsidRPr="008E31A9" w:rsidRDefault="008E31A9" w:rsidP="00795E0E">
    <w:pPr>
      <w:rPr>
        <w:rFonts w:asciiTheme="minorHAnsi" w:hAnsiTheme="minorHAnsi" w:cstheme="minorHAnsi"/>
      </w:rPr>
    </w:pPr>
    <w:r>
      <w:tab/>
    </w:r>
    <w:sdt>
      <w:sdtPr>
        <w:id w:val="-512684488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  <w:r>
      <w:tab/>
    </w:r>
    <w:r w:rsidR="00EB6549">
      <w:rPr>
        <w:noProof/>
      </w:rPr>
      <w:drawing>
        <wp:inline distT="0" distB="0" distL="0" distR="0" wp14:anchorId="2C1568DA" wp14:editId="727DD8C5">
          <wp:extent cx="838200" cy="295275"/>
          <wp:effectExtent l="0" t="0" r="0" b="9525"/>
          <wp:docPr id="1" name="Grafik 1" descr="Creative Commons Lizenzvertr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 descr="Creative Commons Lizenzvertr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6549">
      <w:rPr>
        <w:rFonts w:asciiTheme="minorHAnsi" w:hAnsiTheme="minorHAnsi" w:cstheme="minorHAnsi"/>
        <w:color w:val="000000" w:themeColor="text1"/>
        <w:kern w:val="24"/>
        <w:sz w:val="36"/>
        <w:szCs w:val="36"/>
      </w:rPr>
      <w:t xml:space="preserve"> </w:t>
    </w:r>
    <w:r w:rsidR="00EB6549">
      <w:rPr>
        <w:rFonts w:asciiTheme="minorHAnsi" w:hAnsiTheme="minorHAnsi" w:cstheme="minorHAnsi"/>
        <w:color w:val="000000" w:themeColor="text1"/>
        <w:kern w:val="24"/>
        <w:sz w:val="28"/>
        <w:szCs w:val="28"/>
      </w:rPr>
      <w:t>BaCuLit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9350B" w14:textId="77777777" w:rsidR="00593038" w:rsidRDefault="00593038" w:rsidP="00795E0E">
      <w:r>
        <w:separator/>
      </w:r>
    </w:p>
  </w:footnote>
  <w:footnote w:type="continuationSeparator" w:id="0">
    <w:p w14:paraId="6F8824DA" w14:textId="77777777" w:rsidR="00593038" w:rsidRDefault="00593038" w:rsidP="00795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73564" w14:textId="77777777" w:rsidR="00C33872" w:rsidRDefault="00C33872" w:rsidP="00795E0E">
    <w:pPr>
      <w:pStyle w:val="Kopfzeile"/>
    </w:pPr>
  </w:p>
  <w:p w14:paraId="4AB80350" w14:textId="77777777" w:rsidR="00C33872" w:rsidRDefault="00C33872" w:rsidP="00795E0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39E9"/>
    <w:multiLevelType w:val="hybridMultilevel"/>
    <w:tmpl w:val="4D1476D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7014A3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0555D1"/>
    <w:multiLevelType w:val="hybridMultilevel"/>
    <w:tmpl w:val="FEB285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F0AF0"/>
    <w:multiLevelType w:val="hybridMultilevel"/>
    <w:tmpl w:val="88BC382E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483AA7"/>
    <w:multiLevelType w:val="hybridMultilevel"/>
    <w:tmpl w:val="B9D4B2E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ED6539"/>
    <w:multiLevelType w:val="hybridMultilevel"/>
    <w:tmpl w:val="EDFA11F6"/>
    <w:lvl w:ilvl="0" w:tplc="0407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D8359F1"/>
    <w:multiLevelType w:val="hybridMultilevel"/>
    <w:tmpl w:val="247603E8"/>
    <w:lvl w:ilvl="0" w:tplc="BE3467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F337ACD"/>
    <w:multiLevelType w:val="hybridMultilevel"/>
    <w:tmpl w:val="0E564254"/>
    <w:lvl w:ilvl="0" w:tplc="E772A3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FAC0F7B"/>
    <w:multiLevelType w:val="hybridMultilevel"/>
    <w:tmpl w:val="0B38A6B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7452091"/>
    <w:multiLevelType w:val="hybridMultilevel"/>
    <w:tmpl w:val="1A0E0C62"/>
    <w:lvl w:ilvl="0" w:tplc="66D80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C44A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4CB9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14A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6413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A491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42AA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4402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3CB9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C7513C6"/>
    <w:multiLevelType w:val="hybridMultilevel"/>
    <w:tmpl w:val="16CAC7F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FE33A7D"/>
    <w:multiLevelType w:val="hybridMultilevel"/>
    <w:tmpl w:val="0A8055A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21C5D75"/>
    <w:multiLevelType w:val="hybridMultilevel"/>
    <w:tmpl w:val="11BA5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C7B0C"/>
    <w:multiLevelType w:val="hybridMultilevel"/>
    <w:tmpl w:val="7B4A5BE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DA56628"/>
    <w:multiLevelType w:val="hybridMultilevel"/>
    <w:tmpl w:val="B3DA32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713E67"/>
    <w:multiLevelType w:val="hybridMultilevel"/>
    <w:tmpl w:val="30F80EE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F795CD3"/>
    <w:multiLevelType w:val="hybridMultilevel"/>
    <w:tmpl w:val="174280F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0CD6EFB"/>
    <w:multiLevelType w:val="hybridMultilevel"/>
    <w:tmpl w:val="EC68FC06"/>
    <w:lvl w:ilvl="0" w:tplc="17707D8E">
      <w:start w:val="1"/>
      <w:numFmt w:val="bullet"/>
      <w:pStyle w:val="Listenabsatz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0E16036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AE77FE0"/>
    <w:multiLevelType w:val="hybridMultilevel"/>
    <w:tmpl w:val="09D80B5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386E37"/>
    <w:multiLevelType w:val="hybridMultilevel"/>
    <w:tmpl w:val="0970637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CB05F70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F282A49"/>
    <w:multiLevelType w:val="hybridMultilevel"/>
    <w:tmpl w:val="D2BAD406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800" w:hanging="360"/>
      </w:p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13F5310"/>
    <w:multiLevelType w:val="hybridMultilevel"/>
    <w:tmpl w:val="B8FC0B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4065FF4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5AF7FE6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7AD7EBC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31896114">
    <w:abstractNumId w:val="15"/>
  </w:num>
  <w:num w:numId="2" w16cid:durableId="708603497">
    <w:abstractNumId w:val="0"/>
  </w:num>
  <w:num w:numId="3" w16cid:durableId="1448354020">
    <w:abstractNumId w:val="20"/>
  </w:num>
  <w:num w:numId="4" w16cid:durableId="2082604905">
    <w:abstractNumId w:val="4"/>
  </w:num>
  <w:num w:numId="5" w16cid:durableId="1068649881">
    <w:abstractNumId w:val="10"/>
  </w:num>
  <w:num w:numId="6" w16cid:durableId="1592615764">
    <w:abstractNumId w:val="19"/>
  </w:num>
  <w:num w:numId="7" w16cid:durableId="2049260183">
    <w:abstractNumId w:val="8"/>
  </w:num>
  <w:num w:numId="8" w16cid:durableId="501165176">
    <w:abstractNumId w:val="16"/>
  </w:num>
  <w:num w:numId="9" w16cid:durableId="1517765064">
    <w:abstractNumId w:val="13"/>
  </w:num>
  <w:num w:numId="10" w16cid:durableId="1190873070">
    <w:abstractNumId w:val="11"/>
  </w:num>
  <w:num w:numId="11" w16cid:durableId="982006615">
    <w:abstractNumId w:val="1"/>
  </w:num>
  <w:num w:numId="12" w16cid:durableId="218714230">
    <w:abstractNumId w:val="18"/>
  </w:num>
  <w:num w:numId="13" w16cid:durableId="614336060">
    <w:abstractNumId w:val="3"/>
  </w:num>
  <w:num w:numId="14" w16cid:durableId="1950158556">
    <w:abstractNumId w:val="26"/>
  </w:num>
  <w:num w:numId="15" w16cid:durableId="1732997332">
    <w:abstractNumId w:val="7"/>
  </w:num>
  <w:num w:numId="16" w16cid:durableId="820119667">
    <w:abstractNumId w:val="6"/>
  </w:num>
  <w:num w:numId="17" w16cid:durableId="431517082">
    <w:abstractNumId w:val="12"/>
  </w:num>
  <w:num w:numId="18" w16cid:durableId="1329404831">
    <w:abstractNumId w:val="23"/>
  </w:num>
  <w:num w:numId="19" w16cid:durableId="1545292938">
    <w:abstractNumId w:val="25"/>
  </w:num>
  <w:num w:numId="20" w16cid:durableId="844517896">
    <w:abstractNumId w:val="21"/>
  </w:num>
  <w:num w:numId="21" w16cid:durableId="95757432">
    <w:abstractNumId w:val="24"/>
  </w:num>
  <w:num w:numId="22" w16cid:durableId="1309165243">
    <w:abstractNumId w:val="5"/>
  </w:num>
  <w:num w:numId="23" w16cid:durableId="1277902787">
    <w:abstractNumId w:val="17"/>
  </w:num>
  <w:num w:numId="24" w16cid:durableId="1647735437">
    <w:abstractNumId w:val="22"/>
  </w:num>
  <w:num w:numId="25" w16cid:durableId="1690837363">
    <w:abstractNumId w:val="9"/>
  </w:num>
  <w:num w:numId="26" w16cid:durableId="2084179238">
    <w:abstractNumId w:val="14"/>
  </w:num>
  <w:num w:numId="27" w16cid:durableId="6507163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22"/>
    <w:rsid w:val="00017C2E"/>
    <w:rsid w:val="0002304E"/>
    <w:rsid w:val="00033645"/>
    <w:rsid w:val="000407E7"/>
    <w:rsid w:val="00053A0C"/>
    <w:rsid w:val="00054B96"/>
    <w:rsid w:val="00056861"/>
    <w:rsid w:val="0006407C"/>
    <w:rsid w:val="00067641"/>
    <w:rsid w:val="0007690B"/>
    <w:rsid w:val="00081DC6"/>
    <w:rsid w:val="00093A46"/>
    <w:rsid w:val="000A1541"/>
    <w:rsid w:val="000C6BA1"/>
    <w:rsid w:val="001042CA"/>
    <w:rsid w:val="00113563"/>
    <w:rsid w:val="00116356"/>
    <w:rsid w:val="00140930"/>
    <w:rsid w:val="00161756"/>
    <w:rsid w:val="001674E1"/>
    <w:rsid w:val="0017020E"/>
    <w:rsid w:val="00197939"/>
    <w:rsid w:val="001A4F02"/>
    <w:rsid w:val="001A573C"/>
    <w:rsid w:val="001A7760"/>
    <w:rsid w:val="001B6A42"/>
    <w:rsid w:val="001D1BC4"/>
    <w:rsid w:val="001D3B55"/>
    <w:rsid w:val="00205C1B"/>
    <w:rsid w:val="00207892"/>
    <w:rsid w:val="0022266C"/>
    <w:rsid w:val="00226F23"/>
    <w:rsid w:val="002563A2"/>
    <w:rsid w:val="002B49BE"/>
    <w:rsid w:val="002B59AD"/>
    <w:rsid w:val="002C2A2B"/>
    <w:rsid w:val="002D32D8"/>
    <w:rsid w:val="002D42E6"/>
    <w:rsid w:val="002E6DBD"/>
    <w:rsid w:val="0035529F"/>
    <w:rsid w:val="0035723F"/>
    <w:rsid w:val="003742D2"/>
    <w:rsid w:val="00377D98"/>
    <w:rsid w:val="0038598E"/>
    <w:rsid w:val="00395230"/>
    <w:rsid w:val="003C2787"/>
    <w:rsid w:val="003C3432"/>
    <w:rsid w:val="003C5642"/>
    <w:rsid w:val="003C5D35"/>
    <w:rsid w:val="003D0AAB"/>
    <w:rsid w:val="003E0F12"/>
    <w:rsid w:val="003F7365"/>
    <w:rsid w:val="004041B2"/>
    <w:rsid w:val="00426427"/>
    <w:rsid w:val="00432A33"/>
    <w:rsid w:val="00462539"/>
    <w:rsid w:val="00471622"/>
    <w:rsid w:val="00475BDD"/>
    <w:rsid w:val="004B4983"/>
    <w:rsid w:val="004C5704"/>
    <w:rsid w:val="004D0DD9"/>
    <w:rsid w:val="004F0A8D"/>
    <w:rsid w:val="00502ED3"/>
    <w:rsid w:val="00506909"/>
    <w:rsid w:val="005253A9"/>
    <w:rsid w:val="00525878"/>
    <w:rsid w:val="0054250E"/>
    <w:rsid w:val="005635AA"/>
    <w:rsid w:val="00576AD9"/>
    <w:rsid w:val="0058679F"/>
    <w:rsid w:val="00590689"/>
    <w:rsid w:val="00593038"/>
    <w:rsid w:val="00595F71"/>
    <w:rsid w:val="00596758"/>
    <w:rsid w:val="005A14C0"/>
    <w:rsid w:val="005A5481"/>
    <w:rsid w:val="005A622E"/>
    <w:rsid w:val="005A724C"/>
    <w:rsid w:val="005B053D"/>
    <w:rsid w:val="005E45E9"/>
    <w:rsid w:val="005F2517"/>
    <w:rsid w:val="00600618"/>
    <w:rsid w:val="00603789"/>
    <w:rsid w:val="00606CAC"/>
    <w:rsid w:val="00613624"/>
    <w:rsid w:val="00634FC7"/>
    <w:rsid w:val="006379F8"/>
    <w:rsid w:val="00644540"/>
    <w:rsid w:val="00686BBC"/>
    <w:rsid w:val="0069269F"/>
    <w:rsid w:val="006A6148"/>
    <w:rsid w:val="006E745E"/>
    <w:rsid w:val="0072261A"/>
    <w:rsid w:val="0077009B"/>
    <w:rsid w:val="007722F5"/>
    <w:rsid w:val="00793C4C"/>
    <w:rsid w:val="00795517"/>
    <w:rsid w:val="00795E0E"/>
    <w:rsid w:val="007B57C5"/>
    <w:rsid w:val="008072F4"/>
    <w:rsid w:val="008110E6"/>
    <w:rsid w:val="00822AAB"/>
    <w:rsid w:val="0083112C"/>
    <w:rsid w:val="00837F08"/>
    <w:rsid w:val="00852989"/>
    <w:rsid w:val="00862E70"/>
    <w:rsid w:val="00867CD7"/>
    <w:rsid w:val="0087297F"/>
    <w:rsid w:val="00874878"/>
    <w:rsid w:val="00874D11"/>
    <w:rsid w:val="00882EDA"/>
    <w:rsid w:val="00893587"/>
    <w:rsid w:val="008A0DC1"/>
    <w:rsid w:val="008E31A9"/>
    <w:rsid w:val="008E3335"/>
    <w:rsid w:val="008E4E99"/>
    <w:rsid w:val="008F5876"/>
    <w:rsid w:val="009613F4"/>
    <w:rsid w:val="009717EC"/>
    <w:rsid w:val="00972B5B"/>
    <w:rsid w:val="009851C0"/>
    <w:rsid w:val="00990C02"/>
    <w:rsid w:val="009938FF"/>
    <w:rsid w:val="009B2CF6"/>
    <w:rsid w:val="009B32C7"/>
    <w:rsid w:val="009C199A"/>
    <w:rsid w:val="009D0472"/>
    <w:rsid w:val="009D2F85"/>
    <w:rsid w:val="009D34E8"/>
    <w:rsid w:val="009D5806"/>
    <w:rsid w:val="009E4315"/>
    <w:rsid w:val="009F417C"/>
    <w:rsid w:val="00A02B9A"/>
    <w:rsid w:val="00A26BC8"/>
    <w:rsid w:val="00A2778D"/>
    <w:rsid w:val="00A3244B"/>
    <w:rsid w:val="00A76D01"/>
    <w:rsid w:val="00A90E3E"/>
    <w:rsid w:val="00A97EBD"/>
    <w:rsid w:val="00AD4035"/>
    <w:rsid w:val="00AF13A9"/>
    <w:rsid w:val="00AF24E1"/>
    <w:rsid w:val="00B044F3"/>
    <w:rsid w:val="00B175B9"/>
    <w:rsid w:val="00B44EBE"/>
    <w:rsid w:val="00B67BD5"/>
    <w:rsid w:val="00B9525E"/>
    <w:rsid w:val="00B96FA0"/>
    <w:rsid w:val="00BB2997"/>
    <w:rsid w:val="00BC38E0"/>
    <w:rsid w:val="00BD5276"/>
    <w:rsid w:val="00BD544F"/>
    <w:rsid w:val="00BD5FE4"/>
    <w:rsid w:val="00BE0985"/>
    <w:rsid w:val="00BF5186"/>
    <w:rsid w:val="00C11A04"/>
    <w:rsid w:val="00C13159"/>
    <w:rsid w:val="00C1437C"/>
    <w:rsid w:val="00C25911"/>
    <w:rsid w:val="00C33872"/>
    <w:rsid w:val="00C47684"/>
    <w:rsid w:val="00C532EC"/>
    <w:rsid w:val="00C5335F"/>
    <w:rsid w:val="00C53602"/>
    <w:rsid w:val="00C84304"/>
    <w:rsid w:val="00CB006A"/>
    <w:rsid w:val="00CC46FB"/>
    <w:rsid w:val="00CD0958"/>
    <w:rsid w:val="00CD48EF"/>
    <w:rsid w:val="00CE6582"/>
    <w:rsid w:val="00D03D9F"/>
    <w:rsid w:val="00D129E6"/>
    <w:rsid w:val="00D208A0"/>
    <w:rsid w:val="00D34EAF"/>
    <w:rsid w:val="00D4530A"/>
    <w:rsid w:val="00D50C62"/>
    <w:rsid w:val="00D6649D"/>
    <w:rsid w:val="00D71C39"/>
    <w:rsid w:val="00D832C8"/>
    <w:rsid w:val="00DE141B"/>
    <w:rsid w:val="00E132A6"/>
    <w:rsid w:val="00E170C1"/>
    <w:rsid w:val="00E222D7"/>
    <w:rsid w:val="00E31B8F"/>
    <w:rsid w:val="00E41FCA"/>
    <w:rsid w:val="00E61F04"/>
    <w:rsid w:val="00E64BC5"/>
    <w:rsid w:val="00EA3D66"/>
    <w:rsid w:val="00EA6834"/>
    <w:rsid w:val="00EB6549"/>
    <w:rsid w:val="00EB6707"/>
    <w:rsid w:val="00EB7671"/>
    <w:rsid w:val="00ED4BED"/>
    <w:rsid w:val="00EE175E"/>
    <w:rsid w:val="00EE5BC0"/>
    <w:rsid w:val="00EF538B"/>
    <w:rsid w:val="00F059DB"/>
    <w:rsid w:val="00F36302"/>
    <w:rsid w:val="00F47E5A"/>
    <w:rsid w:val="00F74560"/>
    <w:rsid w:val="00F84839"/>
    <w:rsid w:val="00F91775"/>
    <w:rsid w:val="00FB3EF7"/>
    <w:rsid w:val="00FC106F"/>
    <w:rsid w:val="00FC7A02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EB255B"/>
  <w15:docId w15:val="{20EFC1DA-525B-4906-B844-885E6FBB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95E0E"/>
    <w:pPr>
      <w:spacing w:before="60" w:line="360" w:lineRule="auto"/>
      <w:jc w:val="both"/>
    </w:pPr>
    <w:rPr>
      <w:rFonts w:ascii="Calibri" w:hAnsi="Calibri" w:cs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9C199A"/>
    <w:pPr>
      <w:spacing w:after="120" w:line="240" w:lineRule="auto"/>
      <w:outlineLvl w:val="0"/>
    </w:pPr>
    <w:rPr>
      <w:b/>
      <w:sz w:val="24"/>
      <w:szCs w:val="24"/>
    </w:rPr>
  </w:style>
  <w:style w:type="paragraph" w:styleId="berschrift2">
    <w:name w:val="heading 2"/>
    <w:basedOn w:val="berschrift1"/>
    <w:next w:val="Standard"/>
    <w:link w:val="berschrift2Zchn"/>
    <w:unhideWhenUsed/>
    <w:qFormat/>
    <w:rsid w:val="00B67BD5"/>
    <w:pPr>
      <w:outlineLvl w:val="1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35529F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3389"/>
    <w:rPr>
      <w:sz w:val="0"/>
      <w:szCs w:val="0"/>
      <w:lang w:val="en-US" w:eastAsia="en-US"/>
    </w:rPr>
  </w:style>
  <w:style w:type="table" w:styleId="Tabellenraster">
    <w:name w:val="Table Grid"/>
    <w:basedOn w:val="NormaleTabelle"/>
    <w:uiPriority w:val="59"/>
    <w:rsid w:val="0035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06407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06407C"/>
    <w:rPr>
      <w:sz w:val="24"/>
      <w:lang w:val="en-US" w:eastAsia="en-US"/>
    </w:rPr>
  </w:style>
  <w:style w:type="paragraph" w:styleId="Fuzeile">
    <w:name w:val="footer"/>
    <w:basedOn w:val="Standard"/>
    <w:link w:val="FuzeileZchn"/>
    <w:uiPriority w:val="99"/>
    <w:rsid w:val="0006407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06407C"/>
    <w:rPr>
      <w:sz w:val="24"/>
      <w:lang w:val="en-US" w:eastAsia="en-US"/>
    </w:rPr>
  </w:style>
  <w:style w:type="paragraph" w:styleId="Listenabsatz">
    <w:name w:val="List Paragraph"/>
    <w:basedOn w:val="Standard"/>
    <w:uiPriority w:val="34"/>
    <w:qFormat/>
    <w:rsid w:val="00E41FCA"/>
    <w:pPr>
      <w:numPr>
        <w:numId w:val="23"/>
      </w:numPr>
      <w:spacing w:line="276" w:lineRule="auto"/>
      <w:ind w:left="1440" w:hanging="720"/>
    </w:pPr>
  </w:style>
  <w:style w:type="character" w:styleId="Kommentarzeichen">
    <w:name w:val="annotation reference"/>
    <w:basedOn w:val="Absatz-Standardschriftart"/>
    <w:uiPriority w:val="99"/>
    <w:rsid w:val="00067641"/>
    <w:rPr>
      <w:sz w:val="18"/>
    </w:rPr>
  </w:style>
  <w:style w:type="paragraph" w:styleId="Kommentartext">
    <w:name w:val="annotation text"/>
    <w:basedOn w:val="Standard"/>
    <w:link w:val="KommentartextZchn"/>
    <w:uiPriority w:val="99"/>
    <w:rsid w:val="00067641"/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067641"/>
    <w:rPr>
      <w:sz w:val="24"/>
      <w:lang w:val="en-US" w:eastAsia="en-US"/>
    </w:rPr>
  </w:style>
  <w:style w:type="paragraph" w:styleId="StandardWeb">
    <w:name w:val="Normal (Web)"/>
    <w:basedOn w:val="Standard"/>
    <w:uiPriority w:val="99"/>
    <w:semiHidden/>
    <w:unhideWhenUsed/>
    <w:rsid w:val="002C2A2B"/>
    <w:pPr>
      <w:spacing w:before="100" w:beforeAutospacing="1" w:after="100" w:afterAutospacing="1"/>
    </w:pPr>
  </w:style>
  <w:style w:type="table" w:customStyle="1" w:styleId="1">
    <w:name w:val="Πλέγμα πίνακα1"/>
    <w:basedOn w:val="NormaleTabelle"/>
    <w:next w:val="Tabellenraster"/>
    <w:unhideWhenUsed/>
    <w:rsid w:val="004D0D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basedOn w:val="berschrift1"/>
    <w:next w:val="Standard"/>
    <w:link w:val="UntertitelZchn"/>
    <w:qFormat/>
    <w:rsid w:val="00795E0E"/>
    <w:pPr>
      <w:spacing w:after="240"/>
      <w:jc w:val="center"/>
    </w:pPr>
    <w:rPr>
      <w:noProof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795E0E"/>
    <w:rPr>
      <w:rFonts w:ascii="Calibri" w:hAnsi="Calibri" w:cs="Arial"/>
      <w:b/>
      <w:noProof/>
      <w:sz w:val="22"/>
      <w:szCs w:val="22"/>
    </w:rPr>
  </w:style>
  <w:style w:type="character" w:customStyle="1" w:styleId="berschrift1Zchn">
    <w:name w:val="Überschrift 1 Zchn"/>
    <w:basedOn w:val="Absatz-Standardschriftart"/>
    <w:link w:val="berschrift1"/>
    <w:rsid w:val="009C199A"/>
    <w:rPr>
      <w:rFonts w:ascii="Calibri" w:hAnsi="Calibri" w:cs="Arial"/>
      <w:b/>
      <w:sz w:val="24"/>
      <w:szCs w:val="24"/>
      <w:lang w:eastAsia="en-US"/>
    </w:rPr>
  </w:style>
  <w:style w:type="paragraph" w:styleId="Titel">
    <w:name w:val="Title"/>
    <w:basedOn w:val="Standard"/>
    <w:next w:val="Standard"/>
    <w:link w:val="TitelZchn"/>
    <w:qFormat/>
    <w:rsid w:val="0061362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76" w:lineRule="auto"/>
    </w:pPr>
    <w:rPr>
      <w:rFonts w:cs="Calibri"/>
      <w:b/>
      <w:smallCaps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613624"/>
    <w:rPr>
      <w:rFonts w:ascii="Calibri" w:hAnsi="Calibri" w:cs="Calibri"/>
      <w:b/>
      <w:smallCaps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B67BD5"/>
    <w:rPr>
      <w:rFonts w:ascii="Calibri" w:hAnsi="Calibri" w:cs="Arial"/>
      <w:b/>
      <w:i/>
      <w:iCs/>
      <w:sz w:val="24"/>
      <w:szCs w:val="24"/>
      <w:lang w:eastAsia="en-US"/>
    </w:rPr>
  </w:style>
  <w:style w:type="character" w:styleId="IntensiveHervorhebung">
    <w:name w:val="Intense Emphasis"/>
    <w:basedOn w:val="Absatz-Standardschriftart"/>
    <w:uiPriority w:val="21"/>
    <w:qFormat/>
    <w:rsid w:val="003742D2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1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3426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Guiding questions for lessonplanning</vt:lpstr>
      <vt:lpstr>Guiding questions for lessonplanning</vt:lpstr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Guiding questions for lessonplanning</dc:title>
  <dc:creator>M. Droop</dc:creator>
  <cp:lastModifiedBy>Yvonne Hörmann</cp:lastModifiedBy>
  <cp:revision>2</cp:revision>
  <cp:lastPrinted>2011-08-28T06:17:00Z</cp:lastPrinted>
  <dcterms:created xsi:type="dcterms:W3CDTF">2022-09-10T12:08:00Z</dcterms:created>
  <dcterms:modified xsi:type="dcterms:W3CDTF">2022-09-10T12:08:00Z</dcterms:modified>
</cp:coreProperties>
</file>