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179" w14:textId="2B895FCA" w:rsidR="00F54D1F" w:rsidRDefault="00C44F5C" w:rsidP="37AD597A">
      <w:pPr>
        <w:jc w:val="center"/>
        <w:rPr>
          <w:b/>
          <w:bCs/>
          <w:smallCaps/>
          <w:sz w:val="34"/>
          <w:szCs w:val="34"/>
          <w:u w:val="single"/>
        </w:rPr>
      </w:pPr>
      <w:r w:rsidRPr="37AD597A">
        <w:rPr>
          <w:b/>
          <w:bCs/>
          <w:smallCaps/>
          <w:sz w:val="34"/>
          <w:szCs w:val="34"/>
          <w:u w:val="single"/>
        </w:rPr>
        <w:t>Werbekampagnen</w:t>
      </w:r>
      <w:r w:rsidR="00F1052D" w:rsidRPr="37AD597A">
        <w:rPr>
          <w:b/>
          <w:bCs/>
          <w:smallCaps/>
          <w:sz w:val="34"/>
          <w:szCs w:val="34"/>
          <w:u w:val="single"/>
        </w:rPr>
        <w:t xml:space="preserve"> </w:t>
      </w:r>
      <w:r w:rsidR="00BA0D3D" w:rsidRPr="37AD597A">
        <w:rPr>
          <w:b/>
          <w:bCs/>
          <w:smallCaps/>
          <w:sz w:val="34"/>
          <w:szCs w:val="34"/>
          <w:u w:val="single"/>
        </w:rPr>
        <w:t xml:space="preserve">im </w:t>
      </w:r>
      <w:r w:rsidR="00F1052D" w:rsidRPr="37AD597A">
        <w:rPr>
          <w:b/>
          <w:bCs/>
          <w:smallCaps/>
          <w:sz w:val="34"/>
          <w:szCs w:val="34"/>
          <w:u w:val="single"/>
        </w:rPr>
        <w:t>vergangene</w:t>
      </w:r>
      <w:r w:rsidR="00BA0D3D" w:rsidRPr="37AD597A">
        <w:rPr>
          <w:b/>
          <w:bCs/>
          <w:smallCaps/>
          <w:sz w:val="34"/>
          <w:szCs w:val="34"/>
          <w:u w:val="single"/>
        </w:rPr>
        <w:t xml:space="preserve">n </w:t>
      </w:r>
      <w:r w:rsidR="00F1052D" w:rsidRPr="37AD597A">
        <w:rPr>
          <w:b/>
          <w:bCs/>
          <w:smallCaps/>
          <w:sz w:val="34"/>
          <w:szCs w:val="34"/>
          <w:u w:val="single"/>
        </w:rPr>
        <w:t>Geschäftsjahr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122"/>
        <w:gridCol w:w="2540"/>
        <w:gridCol w:w="2541"/>
        <w:gridCol w:w="2544"/>
      </w:tblGrid>
      <w:tr w:rsidR="00D96237" w:rsidRPr="00D96237" w14:paraId="7311CE92" w14:textId="77777777" w:rsidTr="37AD597A">
        <w:trPr>
          <w:trHeight w:val="285"/>
        </w:trPr>
        <w:tc>
          <w:tcPr>
            <w:tcW w:w="2122" w:type="dxa"/>
            <w:noWrap/>
            <w:hideMark/>
          </w:tcPr>
          <w:p w14:paraId="3FC38BEC" w14:textId="72F7CCF0" w:rsidR="00D96237" w:rsidRPr="00D96237" w:rsidRDefault="00D96237" w:rsidP="00D96237">
            <w:pPr>
              <w:jc w:val="center"/>
              <w:rPr>
                <w:b/>
              </w:rPr>
            </w:pPr>
          </w:p>
        </w:tc>
        <w:tc>
          <w:tcPr>
            <w:tcW w:w="2540" w:type="dxa"/>
            <w:noWrap/>
            <w:hideMark/>
          </w:tcPr>
          <w:p w14:paraId="4BDBAE7B" w14:textId="77777777" w:rsidR="00D96237" w:rsidRPr="00D96237" w:rsidRDefault="00D96237" w:rsidP="00D96237">
            <w:pPr>
              <w:jc w:val="center"/>
              <w:rPr>
                <w:b/>
              </w:rPr>
            </w:pPr>
            <w:r w:rsidRPr="00D96237">
              <w:rPr>
                <w:b/>
              </w:rPr>
              <w:t>Kampagne 1</w:t>
            </w:r>
          </w:p>
        </w:tc>
        <w:tc>
          <w:tcPr>
            <w:tcW w:w="2541" w:type="dxa"/>
            <w:noWrap/>
            <w:hideMark/>
          </w:tcPr>
          <w:p w14:paraId="45C1850B" w14:textId="77777777" w:rsidR="00D96237" w:rsidRPr="00D96237" w:rsidRDefault="00D96237" w:rsidP="00D96237">
            <w:pPr>
              <w:jc w:val="center"/>
              <w:rPr>
                <w:b/>
              </w:rPr>
            </w:pPr>
            <w:r w:rsidRPr="00D96237">
              <w:rPr>
                <w:b/>
              </w:rPr>
              <w:t>Kampagne 2</w:t>
            </w:r>
          </w:p>
        </w:tc>
        <w:tc>
          <w:tcPr>
            <w:tcW w:w="2544" w:type="dxa"/>
            <w:noWrap/>
            <w:hideMark/>
          </w:tcPr>
          <w:p w14:paraId="2C19C11A" w14:textId="77777777" w:rsidR="00D96237" w:rsidRPr="00D96237" w:rsidRDefault="00D96237" w:rsidP="00D96237">
            <w:pPr>
              <w:jc w:val="center"/>
              <w:rPr>
                <w:b/>
              </w:rPr>
            </w:pPr>
            <w:r w:rsidRPr="00D96237">
              <w:rPr>
                <w:b/>
              </w:rPr>
              <w:t>Kampagne 3</w:t>
            </w:r>
          </w:p>
        </w:tc>
      </w:tr>
      <w:tr w:rsidR="00D96237" w:rsidRPr="00D96237" w14:paraId="077AFCEA" w14:textId="77777777" w:rsidTr="37AD597A">
        <w:trPr>
          <w:trHeight w:val="285"/>
        </w:trPr>
        <w:tc>
          <w:tcPr>
            <w:tcW w:w="2122" w:type="dxa"/>
            <w:noWrap/>
            <w:hideMark/>
          </w:tcPr>
          <w:p w14:paraId="0D2EA5DD" w14:textId="77777777" w:rsidR="00D96237" w:rsidRPr="00D96237" w:rsidRDefault="00D96237" w:rsidP="00D96237">
            <w:pPr>
              <w:jc w:val="center"/>
            </w:pPr>
            <w:r w:rsidRPr="00D96237">
              <w:t>Zeitraum (Kalenderwochen)</w:t>
            </w:r>
          </w:p>
        </w:tc>
        <w:tc>
          <w:tcPr>
            <w:tcW w:w="2540" w:type="dxa"/>
            <w:noWrap/>
            <w:hideMark/>
          </w:tcPr>
          <w:p w14:paraId="2795D94A" w14:textId="77777777" w:rsidR="00D96237" w:rsidRDefault="00D96237" w:rsidP="00D96237">
            <w:pPr>
              <w:jc w:val="center"/>
            </w:pPr>
            <w:r w:rsidRPr="00D96237">
              <w:t xml:space="preserve">18. März bis 05. April </w:t>
            </w:r>
          </w:p>
          <w:p w14:paraId="519DB546" w14:textId="277DFE69" w:rsidR="00D96237" w:rsidRPr="00D96237" w:rsidRDefault="00D96237" w:rsidP="00D96237">
            <w:pPr>
              <w:jc w:val="center"/>
            </w:pPr>
            <w:r w:rsidRPr="00D96237">
              <w:t>(KW 12 bis 14)</w:t>
            </w:r>
          </w:p>
        </w:tc>
        <w:tc>
          <w:tcPr>
            <w:tcW w:w="2541" w:type="dxa"/>
            <w:noWrap/>
            <w:hideMark/>
          </w:tcPr>
          <w:p w14:paraId="19046DAC" w14:textId="77777777" w:rsidR="00D96237" w:rsidRDefault="00D96237" w:rsidP="00D96237">
            <w:pPr>
              <w:jc w:val="center"/>
            </w:pPr>
            <w:r w:rsidRPr="00D96237">
              <w:t xml:space="preserve">16. Sept. bis 05. Okt. </w:t>
            </w:r>
          </w:p>
          <w:p w14:paraId="2A401BCB" w14:textId="3ABDA8E0" w:rsidR="00D96237" w:rsidRPr="00D96237" w:rsidRDefault="00D96237" w:rsidP="00D96237">
            <w:pPr>
              <w:jc w:val="center"/>
            </w:pPr>
            <w:r w:rsidRPr="00D96237">
              <w:t>(KW 38 bis 40)</w:t>
            </w:r>
          </w:p>
        </w:tc>
        <w:tc>
          <w:tcPr>
            <w:tcW w:w="2544" w:type="dxa"/>
            <w:noWrap/>
            <w:hideMark/>
          </w:tcPr>
          <w:p w14:paraId="6C110225" w14:textId="77777777" w:rsidR="00D96237" w:rsidRDefault="00D96237" w:rsidP="00D96237">
            <w:pPr>
              <w:jc w:val="center"/>
            </w:pPr>
            <w:r w:rsidRPr="00D96237">
              <w:t xml:space="preserve">05. Dez. bis 23.Dez. </w:t>
            </w:r>
          </w:p>
          <w:p w14:paraId="7876FAA8" w14:textId="59F02039" w:rsidR="00D96237" w:rsidRPr="00D96237" w:rsidRDefault="00D96237" w:rsidP="00D96237">
            <w:pPr>
              <w:jc w:val="center"/>
            </w:pPr>
            <w:r w:rsidRPr="00D96237">
              <w:t>(KW 49 bis 51)</w:t>
            </w:r>
          </w:p>
        </w:tc>
      </w:tr>
      <w:tr w:rsidR="00CE082B" w:rsidRPr="00D96237" w14:paraId="3F059922" w14:textId="77777777" w:rsidTr="37AD597A">
        <w:trPr>
          <w:trHeight w:val="285"/>
        </w:trPr>
        <w:tc>
          <w:tcPr>
            <w:tcW w:w="2122" w:type="dxa"/>
            <w:noWrap/>
            <w:hideMark/>
          </w:tcPr>
          <w:p w14:paraId="2D24907C" w14:textId="77777777" w:rsidR="00CE082B" w:rsidRPr="00D96237" w:rsidRDefault="00CE082B" w:rsidP="003543C3">
            <w:pPr>
              <w:jc w:val="center"/>
            </w:pPr>
            <w:r w:rsidRPr="00D96237">
              <w:t>Kurzbeschreibung</w:t>
            </w:r>
          </w:p>
        </w:tc>
        <w:tc>
          <w:tcPr>
            <w:tcW w:w="2540" w:type="dxa"/>
            <w:noWrap/>
            <w:hideMark/>
          </w:tcPr>
          <w:p w14:paraId="6EC7C314" w14:textId="77777777" w:rsidR="00CE082B" w:rsidRPr="00D96237" w:rsidRDefault="00CE082B" w:rsidP="003543C3">
            <w:pPr>
              <w:jc w:val="center"/>
            </w:pPr>
            <w:r w:rsidRPr="00D96237">
              <w:t>Skates Frühjahrsaktion-Aktion</w:t>
            </w:r>
          </w:p>
        </w:tc>
        <w:tc>
          <w:tcPr>
            <w:tcW w:w="2541" w:type="dxa"/>
            <w:noWrap/>
            <w:hideMark/>
          </w:tcPr>
          <w:p w14:paraId="0093D4E6" w14:textId="77777777" w:rsidR="00CE082B" w:rsidRPr="00D96237" w:rsidRDefault="00CE082B" w:rsidP="003543C3">
            <w:pPr>
              <w:jc w:val="center"/>
            </w:pPr>
            <w:r w:rsidRPr="00D96237">
              <w:t>Skates XY im Vorfeld des Stadt-Marathons in Köln</w:t>
            </w:r>
          </w:p>
        </w:tc>
        <w:tc>
          <w:tcPr>
            <w:tcW w:w="2544" w:type="dxa"/>
            <w:noWrap/>
            <w:hideMark/>
          </w:tcPr>
          <w:p w14:paraId="425B2E22" w14:textId="77777777" w:rsidR="00CE082B" w:rsidRPr="00D96237" w:rsidRDefault="00CE082B" w:rsidP="003543C3">
            <w:pPr>
              <w:jc w:val="center"/>
            </w:pPr>
            <w:r w:rsidRPr="00D96237">
              <w:t>Skates Weihnachtsaktion</w:t>
            </w:r>
          </w:p>
        </w:tc>
      </w:tr>
      <w:tr w:rsidR="000C3724" w:rsidRPr="000C3724" w14:paraId="10103575" w14:textId="77777777" w:rsidTr="37AD597A">
        <w:trPr>
          <w:trHeight w:val="285"/>
        </w:trPr>
        <w:tc>
          <w:tcPr>
            <w:tcW w:w="2122" w:type="dxa"/>
            <w:noWrap/>
          </w:tcPr>
          <w:p w14:paraId="1445567B" w14:textId="077672F0" w:rsidR="000C3724" w:rsidRPr="00D96237" w:rsidRDefault="000C3724" w:rsidP="000C3724">
            <w:pPr>
              <w:jc w:val="center"/>
            </w:pPr>
            <w:r>
              <w:t>Instrumente</w:t>
            </w:r>
          </w:p>
        </w:tc>
        <w:tc>
          <w:tcPr>
            <w:tcW w:w="2540" w:type="dxa"/>
            <w:noWrap/>
          </w:tcPr>
          <w:p w14:paraId="43136C5F" w14:textId="715470B8" w:rsidR="000C3724" w:rsidRPr="000C3724" w:rsidRDefault="000C3724" w:rsidP="000C3724">
            <w:pPr>
              <w:jc w:val="center"/>
              <w:rPr>
                <w:lang w:val="en-GB"/>
              </w:rPr>
            </w:pPr>
            <w:r w:rsidRPr="000C3724">
              <w:rPr>
                <w:lang w:val="en-GB"/>
              </w:rPr>
              <w:t>Blog, Banner, Facebook, Instagram, SEA</w:t>
            </w:r>
          </w:p>
        </w:tc>
        <w:tc>
          <w:tcPr>
            <w:tcW w:w="2541" w:type="dxa"/>
            <w:noWrap/>
          </w:tcPr>
          <w:p w14:paraId="5B31617C" w14:textId="15FA94F2" w:rsidR="000C3724" w:rsidRPr="000C3724" w:rsidRDefault="000C3724" w:rsidP="000C3724">
            <w:pPr>
              <w:jc w:val="center"/>
              <w:rPr>
                <w:lang w:val="en-GB"/>
              </w:rPr>
            </w:pPr>
            <w:r w:rsidRPr="000C3724">
              <w:rPr>
                <w:lang w:val="en-GB"/>
              </w:rPr>
              <w:t>Banner, Facebook, Instagram</w:t>
            </w:r>
          </w:p>
        </w:tc>
        <w:tc>
          <w:tcPr>
            <w:tcW w:w="2544" w:type="dxa"/>
            <w:noWrap/>
          </w:tcPr>
          <w:p w14:paraId="1075BE3F" w14:textId="4930C761" w:rsidR="000C3724" w:rsidRPr="000C3724" w:rsidRDefault="000C3724" w:rsidP="000C3724">
            <w:pPr>
              <w:jc w:val="center"/>
              <w:rPr>
                <w:lang w:val="en-GB"/>
              </w:rPr>
            </w:pPr>
            <w:r w:rsidRPr="000C3724">
              <w:rPr>
                <w:lang w:val="en-GB"/>
              </w:rPr>
              <w:t>Blog, Facebook, Instagram, SEA</w:t>
            </w:r>
          </w:p>
        </w:tc>
      </w:tr>
    </w:tbl>
    <w:p w14:paraId="32FF40F8" w14:textId="77777777" w:rsidR="00D96237" w:rsidRDefault="00D96237" w:rsidP="00D96237">
      <w:pPr>
        <w:jc w:val="center"/>
      </w:pPr>
      <w:r>
        <w:t xml:space="preserve">Basis: Berichterstattung in Online-News und </w:t>
      </w:r>
      <w:proofErr w:type="spellStart"/>
      <w:r>
        <w:t>Social</w:t>
      </w:r>
      <w:proofErr w:type="spellEnd"/>
      <w:r>
        <w:t xml:space="preserve"> Media im vergangenen Geschäftsjahr</w:t>
      </w:r>
    </w:p>
    <w:p w14:paraId="1951BCC3" w14:textId="77777777" w:rsidR="00715F87" w:rsidRDefault="00715F87" w:rsidP="00715F87"/>
    <w:p w14:paraId="2BB61986" w14:textId="3B090C52" w:rsidR="00D43120" w:rsidRPr="00811F46" w:rsidRDefault="00014E66" w:rsidP="00811F46">
      <w:pPr>
        <w:shd w:val="clear" w:color="auto" w:fill="D9D9D9" w:themeFill="background1" w:themeFillShade="D9"/>
        <w:rPr>
          <w:b/>
          <w:smallCaps/>
          <w:sz w:val="24"/>
          <w:szCs w:val="24"/>
        </w:rPr>
      </w:pPr>
      <w:r w:rsidRPr="00811F46">
        <w:rPr>
          <w:b/>
          <w:smallCaps/>
          <w:sz w:val="24"/>
          <w:szCs w:val="24"/>
        </w:rPr>
        <w:t>Allg</w:t>
      </w:r>
      <w:r w:rsidR="006F28B2" w:rsidRPr="00811F46">
        <w:rPr>
          <w:b/>
          <w:smallCaps/>
          <w:sz w:val="24"/>
          <w:szCs w:val="24"/>
        </w:rPr>
        <w:t>e</w:t>
      </w:r>
      <w:r w:rsidRPr="00811F46">
        <w:rPr>
          <w:b/>
          <w:smallCaps/>
          <w:sz w:val="24"/>
          <w:szCs w:val="24"/>
        </w:rPr>
        <w:t xml:space="preserve">meiner </w:t>
      </w:r>
      <w:proofErr w:type="spellStart"/>
      <w:r w:rsidR="00D43120" w:rsidRPr="00811F46">
        <w:rPr>
          <w:b/>
          <w:smallCaps/>
          <w:sz w:val="24"/>
          <w:szCs w:val="24"/>
        </w:rPr>
        <w:t>Social</w:t>
      </w:r>
      <w:proofErr w:type="spellEnd"/>
      <w:r w:rsidR="00D43120" w:rsidRPr="00811F46">
        <w:rPr>
          <w:b/>
          <w:smallCaps/>
          <w:sz w:val="24"/>
          <w:szCs w:val="24"/>
        </w:rPr>
        <w:t xml:space="preserve"> Buzz</w:t>
      </w:r>
      <w:r w:rsidR="00E36218">
        <w:rPr>
          <w:b/>
          <w:smallCaps/>
          <w:sz w:val="24"/>
          <w:szCs w:val="24"/>
        </w:rPr>
        <w:t xml:space="preserve">: </w:t>
      </w:r>
      <w:r w:rsidR="00E36218">
        <w:t>Reaktionen auf die Kampagnen in allen Medien (Blogs, Foren, sozialen Medien und Online-Artikeln):</w:t>
      </w:r>
    </w:p>
    <w:p w14:paraId="7E123713" w14:textId="6B2A3B6B" w:rsidR="00A04309" w:rsidRDefault="00D17BCB" w:rsidP="00274C2E">
      <w:pPr>
        <w:jc w:val="center"/>
      </w:pPr>
      <w:r>
        <w:rPr>
          <w:noProof/>
        </w:rPr>
        <w:drawing>
          <wp:inline distT="0" distB="0" distL="0" distR="0" wp14:anchorId="52DF9BE9" wp14:editId="1231E05F">
            <wp:extent cx="5461616" cy="3533775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86" cy="354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1AE0A" w14:textId="77777777" w:rsidR="004342E5" w:rsidRDefault="004342E5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14:paraId="24F39862" w14:textId="5935BC32" w:rsidR="00DB59F0" w:rsidRPr="00811F46" w:rsidRDefault="00DB59F0" w:rsidP="00811F46">
      <w:pPr>
        <w:shd w:val="clear" w:color="auto" w:fill="D9D9D9" w:themeFill="background1" w:themeFillShade="D9"/>
        <w:rPr>
          <w:b/>
          <w:smallCaps/>
          <w:sz w:val="24"/>
          <w:szCs w:val="24"/>
        </w:rPr>
      </w:pPr>
      <w:r w:rsidRPr="00811F46">
        <w:rPr>
          <w:b/>
          <w:smallCaps/>
          <w:sz w:val="24"/>
          <w:szCs w:val="24"/>
        </w:rPr>
        <w:lastRenderedPageBreak/>
        <w:t>Message Pull-Through</w:t>
      </w:r>
      <w:r w:rsidR="00454B55">
        <w:rPr>
          <w:b/>
          <w:smallCaps/>
          <w:sz w:val="24"/>
          <w:szCs w:val="24"/>
        </w:rPr>
        <w:t xml:space="preserve">: </w:t>
      </w:r>
      <w:r w:rsidR="00454B55">
        <w:t>Analyse der Reaktionen im Hinblick darauf, welche Botschaft nachhaltig ankam</w:t>
      </w:r>
      <w:r w:rsidR="006432F5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6456"/>
      </w:tblGrid>
      <w:tr w:rsidR="00AB1A3B" w14:paraId="1AD02E37" w14:textId="77777777" w:rsidTr="004342E5">
        <w:tc>
          <w:tcPr>
            <w:tcW w:w="4873" w:type="dxa"/>
          </w:tcPr>
          <w:p w14:paraId="150E8E68" w14:textId="4A1A9100" w:rsidR="00BC3B4F" w:rsidRDefault="00454B55">
            <w:r>
              <w:t xml:space="preserve">Im Rahmen einer Kampagne wurden stets mehrere Botschaften gleichzeitig kommuniziert. </w:t>
            </w:r>
            <w:r w:rsidR="00BC3B4F">
              <w:t>Moveaix hat in den vergangenen Kampagnen die Botschaften in Bezug auf Preis, Qualität und Design formuliert.</w:t>
            </w:r>
          </w:p>
          <w:p w14:paraId="07179816" w14:textId="77777777" w:rsidR="003F63F3" w:rsidRDefault="003F63F3"/>
          <w:p w14:paraId="26649251" w14:textId="34337B51" w:rsidR="00AB1A3B" w:rsidRDefault="00AB1A3B">
            <w:r>
              <w:t>Die folgenden Grafiken zeigen, welche Botschaften im Verlauf der drei letzten Kampagnen auf Dauer beim Usern ankamen:</w:t>
            </w:r>
          </w:p>
          <w:p w14:paraId="022D44C5" w14:textId="555E70B0" w:rsidR="0055702C" w:rsidRDefault="0055702C"/>
        </w:tc>
        <w:tc>
          <w:tcPr>
            <w:tcW w:w="4873" w:type="dxa"/>
          </w:tcPr>
          <w:p w14:paraId="1DB3EE78" w14:textId="70506B0F" w:rsidR="00AB1A3B" w:rsidRDefault="00AB1A3B" w:rsidP="00675424">
            <w:pPr>
              <w:spacing w:before="240" w:after="120"/>
            </w:pPr>
            <w:r>
              <w:rPr>
                <w:noProof/>
              </w:rPr>
              <w:drawing>
                <wp:inline distT="0" distB="0" distL="0" distR="0" wp14:anchorId="58280DDE" wp14:editId="2F1DDC30">
                  <wp:extent cx="3960000" cy="2562374"/>
                  <wp:effectExtent l="0" t="0" r="254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562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2E5" w14:paraId="443E8C73" w14:textId="77777777" w:rsidTr="004342E5">
        <w:tc>
          <w:tcPr>
            <w:tcW w:w="4873" w:type="dxa"/>
          </w:tcPr>
          <w:p w14:paraId="6A238E11" w14:textId="135C539E" w:rsidR="004342E5" w:rsidRDefault="004342E5" w:rsidP="003543C3"/>
        </w:tc>
        <w:tc>
          <w:tcPr>
            <w:tcW w:w="4873" w:type="dxa"/>
          </w:tcPr>
          <w:p w14:paraId="710E14BD" w14:textId="58009729" w:rsidR="004342E5" w:rsidRDefault="004342E5" w:rsidP="00675424">
            <w:pPr>
              <w:spacing w:before="240" w:after="120"/>
            </w:pPr>
            <w:r>
              <w:rPr>
                <w:noProof/>
              </w:rPr>
              <w:drawing>
                <wp:inline distT="0" distB="0" distL="0" distR="0" wp14:anchorId="29B3D3AB" wp14:editId="1A0627EF">
                  <wp:extent cx="3960000" cy="2562398"/>
                  <wp:effectExtent l="0" t="0" r="254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562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3B" w14:paraId="2FD93A20" w14:textId="77777777" w:rsidTr="004342E5">
        <w:tc>
          <w:tcPr>
            <w:tcW w:w="4873" w:type="dxa"/>
          </w:tcPr>
          <w:p w14:paraId="3F89BC70" w14:textId="16C6CC58" w:rsidR="00AB1A3B" w:rsidRDefault="00AB1A3B"/>
        </w:tc>
        <w:tc>
          <w:tcPr>
            <w:tcW w:w="4873" w:type="dxa"/>
          </w:tcPr>
          <w:p w14:paraId="220EE0F7" w14:textId="37346B1C" w:rsidR="00AB1A3B" w:rsidRDefault="00AB1A3B" w:rsidP="00675424">
            <w:pPr>
              <w:spacing w:before="240" w:after="120"/>
            </w:pPr>
            <w:r>
              <w:rPr>
                <w:noProof/>
              </w:rPr>
              <w:drawing>
                <wp:inline distT="0" distB="0" distL="0" distR="0" wp14:anchorId="70FDDC06" wp14:editId="1C53E2EF">
                  <wp:extent cx="3960000" cy="2562385"/>
                  <wp:effectExtent l="0" t="0" r="254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562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49E1D" w14:textId="383C0F3D" w:rsidR="00F97CC8" w:rsidRDefault="00F97CC8"/>
    <w:p w14:paraId="73216B9A" w14:textId="77777777" w:rsidR="00F97CC8" w:rsidRDefault="00F97CC8">
      <w:r>
        <w:br w:type="page"/>
      </w:r>
    </w:p>
    <w:p w14:paraId="6429E7FB" w14:textId="77777777" w:rsidR="00F97CC8" w:rsidRDefault="00F97CC8" w:rsidP="00F97CC8">
      <w:pPr>
        <w:jc w:val="center"/>
        <w:rPr>
          <w:b/>
          <w:smallCaps/>
          <w:sz w:val="34"/>
          <w:szCs w:val="34"/>
          <w:u w:val="single"/>
        </w:rPr>
      </w:pPr>
      <w:r>
        <w:rPr>
          <w:b/>
          <w:smallCaps/>
          <w:sz w:val="34"/>
          <w:szCs w:val="34"/>
          <w:u w:val="single"/>
        </w:rPr>
        <w:lastRenderedPageBreak/>
        <w:t>Analyse</w:t>
      </w:r>
      <w:r w:rsidRPr="00811F46">
        <w:rPr>
          <w:b/>
          <w:smallCaps/>
          <w:sz w:val="34"/>
          <w:szCs w:val="34"/>
          <w:u w:val="single"/>
        </w:rPr>
        <w:t xml:space="preserve"> </w:t>
      </w:r>
      <w:r>
        <w:rPr>
          <w:b/>
          <w:smallCaps/>
          <w:sz w:val="34"/>
          <w:szCs w:val="34"/>
          <w:u w:val="single"/>
        </w:rPr>
        <w:t>Marke Moveaix</w:t>
      </w:r>
    </w:p>
    <w:p w14:paraId="36B57DE6" w14:textId="77777777" w:rsidR="00F97CC8" w:rsidRPr="00811F46" w:rsidRDefault="00F97CC8" w:rsidP="00F97CC8">
      <w:pPr>
        <w:shd w:val="clear" w:color="auto" w:fill="D9D9D9" w:themeFill="background1" w:themeFillShade="D9"/>
        <w:rPr>
          <w:b/>
          <w:smallCaps/>
          <w:sz w:val="24"/>
          <w:szCs w:val="24"/>
        </w:rPr>
      </w:pPr>
      <w:r w:rsidRPr="00811F46">
        <w:rPr>
          <w:b/>
          <w:smallCaps/>
          <w:sz w:val="24"/>
          <w:szCs w:val="24"/>
        </w:rPr>
        <w:t>Analyse der Reaktionen</w:t>
      </w:r>
      <w:r>
        <w:rPr>
          <w:b/>
          <w:smallCaps/>
          <w:sz w:val="24"/>
          <w:szCs w:val="24"/>
        </w:rPr>
        <w:t xml:space="preserve">: </w:t>
      </w:r>
      <w:r>
        <w:t>Erwähnungen im Zusammenhang mit der Marke „</w:t>
      </w:r>
      <w:proofErr w:type="spellStart"/>
      <w:r>
        <w:t>moveaix</w:t>
      </w:r>
      <w:proofErr w:type="spellEnd"/>
      <w:r>
        <w:t>“</w:t>
      </w:r>
    </w:p>
    <w:p w14:paraId="6BABA1BD" w14:textId="77777777" w:rsidR="00F97CC8" w:rsidRDefault="00F97CC8" w:rsidP="00F97CC8">
      <w:r>
        <w:t xml:space="preserve">Word Cloud: Je größer die Darstellung eines Begriffs, desto wichtiger innerhalb der Reaktionen in sozialen Meiden. </w:t>
      </w:r>
    </w:p>
    <w:p w14:paraId="3268D0EA" w14:textId="77777777" w:rsidR="00F97CC8" w:rsidRDefault="00F97CC8" w:rsidP="00F97CC8">
      <w:pPr>
        <w:jc w:val="center"/>
      </w:pPr>
      <w:r>
        <w:rPr>
          <w:noProof/>
        </w:rPr>
        <w:drawing>
          <wp:inline distT="0" distB="0" distL="0" distR="0" wp14:anchorId="7A236138" wp14:editId="3A5594BC">
            <wp:extent cx="3780000" cy="2834043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0" t="11490" r="11887" b="12279"/>
                    <a:stretch/>
                  </pic:blipFill>
                  <pic:spPr bwMode="auto">
                    <a:xfrm>
                      <a:off x="0" y="0"/>
                      <a:ext cx="3780000" cy="283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0F54D" w14:textId="31A8C453" w:rsidR="00255A1F" w:rsidRPr="00255A1F" w:rsidRDefault="00255A1F" w:rsidP="00255A1F">
      <w:pPr>
        <w:rPr>
          <w:sz w:val="20"/>
          <w:szCs w:val="20"/>
        </w:rPr>
      </w:pPr>
      <w:r w:rsidRPr="00255A1F">
        <w:rPr>
          <w:sz w:val="20"/>
          <w:szCs w:val="20"/>
        </w:rPr>
        <w:t xml:space="preserve">Erstellt mit Hilfe von </w:t>
      </w:r>
      <w:hyperlink r:id="rId11" w:history="1">
        <w:r w:rsidRPr="00255A1F">
          <w:rPr>
            <w:rStyle w:val="Hyperlink"/>
            <w:sz w:val="20"/>
            <w:szCs w:val="20"/>
          </w:rPr>
          <w:t>https://www.wortwolken.com/</w:t>
        </w:r>
      </w:hyperlink>
    </w:p>
    <w:p w14:paraId="7EA91949" w14:textId="77777777" w:rsidR="00DB59F0" w:rsidRDefault="00DB59F0"/>
    <w:p w14:paraId="13D87A4D" w14:textId="7B92C18A" w:rsidR="009E75D1" w:rsidRDefault="009E75D1">
      <w:r>
        <w:t xml:space="preserve">Autor: </w:t>
      </w:r>
    </w:p>
    <w:p w14:paraId="50D2972A" w14:textId="6747295B" w:rsidR="009E75D1" w:rsidRDefault="009E75D1" w:rsidP="009E75D1">
      <w:pPr>
        <w:rPr>
          <w:rFonts w:ascii="Calibri" w:hAnsi="Calibri" w:cs="Calibri"/>
        </w:rPr>
      </w:pPr>
      <w:r>
        <w:rPr>
          <w:rFonts w:ascii="Calibri" w:hAnsi="Calibri" w:cs="Calibri"/>
        </w:rPr>
        <w:t>Andreas Berger, Berufskolleg für Wirtschaft und Verwaltung, Aachen</w:t>
      </w:r>
    </w:p>
    <w:p w14:paraId="576E3693" w14:textId="77777777" w:rsidR="009E75D1" w:rsidRDefault="009E75D1" w:rsidP="009E75D1">
      <w:pPr>
        <w:rPr>
          <w:rFonts w:ascii="Calibri" w:hAnsi="Calibri" w:cs="Calibri"/>
        </w:rPr>
      </w:pPr>
    </w:p>
    <w:p w14:paraId="72BEF17C" w14:textId="4D1756F9" w:rsidR="009E75D1" w:rsidRDefault="009E75D1" w:rsidP="009E75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Stand: </w:t>
      </w:r>
      <w:r w:rsidR="00B9490F">
        <w:rPr>
          <w:rFonts w:ascii="Calibri" w:hAnsi="Calibri" w:cs="Calibri"/>
        </w:rPr>
        <w:t>01.09.2021</w:t>
      </w:r>
    </w:p>
    <w:p w14:paraId="5B71F0DD" w14:textId="77777777" w:rsidR="00B9490F" w:rsidRDefault="00B9490F" w:rsidP="009E75D1">
      <w:pPr>
        <w:rPr>
          <w:rFonts w:ascii="Calibri" w:hAnsi="Calibri" w:cs="Calibri"/>
        </w:rPr>
      </w:pPr>
    </w:p>
    <w:p w14:paraId="4C1CB88D" w14:textId="3A05B96F" w:rsidR="00B9490F" w:rsidRDefault="00B9490F" w:rsidP="009E75D1">
      <w:r>
        <w:rPr>
          <w:rFonts w:ascii="Calibri" w:hAnsi="Calibri" w:cs="Calibri"/>
        </w:rPr>
        <w:t>Hinweis: Diagramme und Schaubilder vom Autor erstellt.</w:t>
      </w:r>
    </w:p>
    <w:sectPr w:rsidR="00B9490F" w:rsidSect="00E36218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9633A"/>
    <w:multiLevelType w:val="multilevel"/>
    <w:tmpl w:val="0552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42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D9"/>
    <w:rsid w:val="00014E66"/>
    <w:rsid w:val="000C3724"/>
    <w:rsid w:val="000F3C27"/>
    <w:rsid w:val="001115FD"/>
    <w:rsid w:val="00142ED9"/>
    <w:rsid w:val="0014365B"/>
    <w:rsid w:val="00156EBE"/>
    <w:rsid w:val="00190E9B"/>
    <w:rsid w:val="002004E3"/>
    <w:rsid w:val="002123D1"/>
    <w:rsid w:val="00243107"/>
    <w:rsid w:val="00255A1F"/>
    <w:rsid w:val="0027008B"/>
    <w:rsid w:val="0027378F"/>
    <w:rsid w:val="00274C2E"/>
    <w:rsid w:val="0029448C"/>
    <w:rsid w:val="002C59A3"/>
    <w:rsid w:val="002E739E"/>
    <w:rsid w:val="00313628"/>
    <w:rsid w:val="0035070F"/>
    <w:rsid w:val="003F63F3"/>
    <w:rsid w:val="0040588D"/>
    <w:rsid w:val="00410143"/>
    <w:rsid w:val="00415354"/>
    <w:rsid w:val="0041642E"/>
    <w:rsid w:val="004342E5"/>
    <w:rsid w:val="004362F9"/>
    <w:rsid w:val="00454B55"/>
    <w:rsid w:val="00470277"/>
    <w:rsid w:val="004C1769"/>
    <w:rsid w:val="004C6EE3"/>
    <w:rsid w:val="00552E8E"/>
    <w:rsid w:val="0055702C"/>
    <w:rsid w:val="005C5CB5"/>
    <w:rsid w:val="005E5AD9"/>
    <w:rsid w:val="0060085B"/>
    <w:rsid w:val="00617EA9"/>
    <w:rsid w:val="00635351"/>
    <w:rsid w:val="0064199F"/>
    <w:rsid w:val="006432F5"/>
    <w:rsid w:val="00675424"/>
    <w:rsid w:val="006F25BF"/>
    <w:rsid w:val="006F28B2"/>
    <w:rsid w:val="00710E00"/>
    <w:rsid w:val="00715F87"/>
    <w:rsid w:val="00771934"/>
    <w:rsid w:val="00785E4B"/>
    <w:rsid w:val="00790559"/>
    <w:rsid w:val="007B4F41"/>
    <w:rsid w:val="007D586B"/>
    <w:rsid w:val="007E0C28"/>
    <w:rsid w:val="007F16B1"/>
    <w:rsid w:val="00811F46"/>
    <w:rsid w:val="00815E36"/>
    <w:rsid w:val="00841628"/>
    <w:rsid w:val="008B005C"/>
    <w:rsid w:val="0090742D"/>
    <w:rsid w:val="00922DAA"/>
    <w:rsid w:val="009324E7"/>
    <w:rsid w:val="009B50FA"/>
    <w:rsid w:val="009C0263"/>
    <w:rsid w:val="009D23A6"/>
    <w:rsid w:val="009E75D1"/>
    <w:rsid w:val="00A04309"/>
    <w:rsid w:val="00A25073"/>
    <w:rsid w:val="00A51F8B"/>
    <w:rsid w:val="00AB1A3B"/>
    <w:rsid w:val="00B2248E"/>
    <w:rsid w:val="00B22CA9"/>
    <w:rsid w:val="00B83D08"/>
    <w:rsid w:val="00B9490F"/>
    <w:rsid w:val="00BA0D3D"/>
    <w:rsid w:val="00BC3B4F"/>
    <w:rsid w:val="00BF5D8C"/>
    <w:rsid w:val="00C065B4"/>
    <w:rsid w:val="00C44CBD"/>
    <w:rsid w:val="00C44F5C"/>
    <w:rsid w:val="00C6034C"/>
    <w:rsid w:val="00C81C54"/>
    <w:rsid w:val="00CD227D"/>
    <w:rsid w:val="00CE082B"/>
    <w:rsid w:val="00CF35CF"/>
    <w:rsid w:val="00D17BCB"/>
    <w:rsid w:val="00D42959"/>
    <w:rsid w:val="00D43120"/>
    <w:rsid w:val="00D83768"/>
    <w:rsid w:val="00D94E81"/>
    <w:rsid w:val="00D96237"/>
    <w:rsid w:val="00DB59F0"/>
    <w:rsid w:val="00E13598"/>
    <w:rsid w:val="00E36218"/>
    <w:rsid w:val="00E40118"/>
    <w:rsid w:val="00E863E0"/>
    <w:rsid w:val="00E94FBF"/>
    <w:rsid w:val="00ED17F6"/>
    <w:rsid w:val="00EF33B0"/>
    <w:rsid w:val="00F05ADB"/>
    <w:rsid w:val="00F1052D"/>
    <w:rsid w:val="00F51AEC"/>
    <w:rsid w:val="00F54D1F"/>
    <w:rsid w:val="00F60357"/>
    <w:rsid w:val="00F97CC8"/>
    <w:rsid w:val="00FF485D"/>
    <w:rsid w:val="37A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268"/>
  <w15:chartTrackingRefBased/>
  <w15:docId w15:val="{8C235D22-E4D1-4C7A-A417-322C0C5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5A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5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wortwolken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9C96-54A3-46A1-93A8-00A6FAD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110</cp:revision>
  <dcterms:created xsi:type="dcterms:W3CDTF">2021-08-31T12:55:00Z</dcterms:created>
  <dcterms:modified xsi:type="dcterms:W3CDTF">2023-04-02T12:20:00Z</dcterms:modified>
</cp:coreProperties>
</file>