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DB1E8" w14:textId="04218332" w:rsidR="001C651E" w:rsidRPr="00C968F4" w:rsidRDefault="00011193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ie in der Lernsituation 2.3</w:t>
      </w:r>
      <w:r w:rsidR="00213644" w:rsidRPr="00C968F4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abgebildete Kernkompetenz umfasst das Identifizieren und B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schaffen von relevanten </w:t>
      </w:r>
      <w:r w:rsidR="0080187C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digitalen 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Daten</w:t>
      </w:r>
      <w:r w:rsidR="008758EF" w:rsidRPr="00C968F4">
        <w:rPr>
          <w:rFonts w:asciiTheme="minorHAnsi" w:hAnsiTheme="minorHAnsi" w:cstheme="minorHAnsi"/>
          <w:color w:val="auto"/>
          <w:sz w:val="24"/>
          <w:szCs w:val="24"/>
        </w:rPr>
        <w:t>, auf de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ren Basis die </w:t>
      </w:r>
      <w:r w:rsidR="00D50E87" w:rsidRPr="00C968F4">
        <w:rPr>
          <w:rFonts w:asciiTheme="minorHAnsi" w:hAnsiTheme="minorHAnsi" w:cstheme="minorHAnsi"/>
          <w:color w:val="auto"/>
          <w:sz w:val="24"/>
          <w:szCs w:val="24"/>
        </w:rPr>
        <w:t>Produkte in das</w:t>
      </w:r>
      <w:r w:rsidR="00C24A44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Warenwir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schaftssystem </w:t>
      </w:r>
      <w:r w:rsidR="00D50E87" w:rsidRPr="00C968F4">
        <w:rPr>
          <w:rFonts w:asciiTheme="minorHAnsi" w:hAnsiTheme="minorHAnsi" w:cstheme="minorHAnsi"/>
          <w:color w:val="auto"/>
          <w:sz w:val="24"/>
          <w:szCs w:val="24"/>
        </w:rPr>
        <w:t>eingepflegt</w:t>
      </w:r>
      <w:r w:rsidR="008758EF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und 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anschließend </w:t>
      </w:r>
      <w:r w:rsidR="0029386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verkaufsbereit 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im Online-Shop dargestellt we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den.</w:t>
      </w:r>
      <w:r w:rsidR="00D50E87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DDE738F" w14:textId="62B50BD2" w:rsidR="00196517" w:rsidRPr="00C968F4" w:rsidRDefault="001C651E" w:rsidP="0019651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zu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bereiten </w:t>
      </w:r>
      <w:r w:rsidR="008758EF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die Schülerinnen und Schüler relevante 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Produktdetails auf und achten darauf, dass alle für den Kunden notwendigen Daten </w:t>
      </w:r>
      <w:r w:rsidR="00A731ED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einschließlich audiovisueller Darstellungen 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zur Verfügung stehen. Sie </w:t>
      </w:r>
      <w:r w:rsidR="008758EF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klassifizieren Produkte und entwickeln Vorschläge für </w:t>
      </w:r>
      <w:r w:rsidR="00C53AA9" w:rsidRPr="00C968F4">
        <w:rPr>
          <w:rFonts w:asciiTheme="minorHAnsi" w:hAnsiTheme="minorHAnsi" w:cstheme="minorHAnsi"/>
          <w:color w:val="auto"/>
          <w:sz w:val="24"/>
          <w:szCs w:val="24"/>
        </w:rPr>
        <w:t>verkaufsfö</w:t>
      </w:r>
      <w:r w:rsidR="00C53AA9" w:rsidRPr="00C968F4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C53AA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dernde </w:t>
      </w:r>
      <w:r w:rsidR="00A731ED" w:rsidRPr="00C968F4">
        <w:rPr>
          <w:rFonts w:asciiTheme="minorHAnsi" w:hAnsiTheme="minorHAnsi" w:cstheme="minorHAnsi"/>
          <w:color w:val="auto"/>
          <w:sz w:val="24"/>
          <w:szCs w:val="24"/>
        </w:rPr>
        <w:t>Produktkategorisierung</w:t>
      </w:r>
      <w:r w:rsidR="00386C4E" w:rsidRPr="00C968F4">
        <w:rPr>
          <w:rFonts w:asciiTheme="minorHAnsi" w:hAnsiTheme="minorHAnsi" w:cstheme="minorHAnsi"/>
          <w:color w:val="auto"/>
          <w:sz w:val="24"/>
          <w:szCs w:val="24"/>
        </w:rPr>
        <w:t>en</w:t>
      </w:r>
      <w:r w:rsidR="00A731ED" w:rsidRPr="00C968F4">
        <w:rPr>
          <w:rFonts w:asciiTheme="minorHAnsi" w:hAnsiTheme="minorHAnsi" w:cstheme="minorHAnsi"/>
          <w:color w:val="auto"/>
          <w:sz w:val="24"/>
          <w:szCs w:val="24"/>
        </w:rPr>
        <w:t>, die dem Kunden unterschiedliche Zugangswege zum Pr</w:t>
      </w:r>
      <w:r w:rsidR="00A731ED" w:rsidRPr="00C968F4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731ED" w:rsidRPr="00C968F4">
        <w:rPr>
          <w:rFonts w:asciiTheme="minorHAnsi" w:hAnsiTheme="minorHAnsi" w:cstheme="minorHAnsi"/>
          <w:color w:val="auto"/>
          <w:sz w:val="24"/>
          <w:szCs w:val="24"/>
        </w:rPr>
        <w:t>dukt ermöglich</w:t>
      </w:r>
      <w:r w:rsidR="00386C4E" w:rsidRPr="00C968F4">
        <w:rPr>
          <w:rFonts w:asciiTheme="minorHAnsi" w:hAnsiTheme="minorHAnsi" w:cstheme="minorHAnsi"/>
          <w:color w:val="auto"/>
          <w:sz w:val="24"/>
          <w:szCs w:val="24"/>
        </w:rPr>
        <w:t>en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Zur späteren Auffindbarkeit im Online-Shop </w:t>
      </w:r>
      <w:r w:rsidR="00497C63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ist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die 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Filter- und Suchfunkt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on durch geeignete Schlagworte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sicherzustellen.</w:t>
      </w:r>
      <w:r w:rsidR="007A2251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Das Ermitteln und ergänzen suchmasch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nenrelevanter Schlagworte und Suchbegriffe wird in späteren Lernfeldern (z. B. LF 7) vertieft, da hierfür fundierte Kenntnisse zur Nutzung von Anwendungen im Bereich der Web-Technologien erforderlich sind.</w:t>
      </w:r>
    </w:p>
    <w:p w14:paraId="7398F14D" w14:textId="1408ABAA" w:rsidR="00FC75E5" w:rsidRPr="00C968F4" w:rsidRDefault="006A0D80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Die</w:t>
      </w:r>
      <w:r w:rsidR="007A2251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Lernsituation baut auf den vorangegangen Lernsituationen 2.1 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(Sortimentsanalyse im Online-Vertriebskanal) </w:t>
      </w:r>
      <w:r w:rsidR="007A2251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und 2.2 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(Vorbereitung einer kundenorientierten, verkaufsfördernden und rechtssicheren Produktpräsentation) auf, indem die Schülerinnen und Schüler für die neu in das Sortiment aufgenommen Produkte eine </w:t>
      </w:r>
      <w:r w:rsidR="00196517" w:rsidRPr="00C968F4">
        <w:rPr>
          <w:rFonts w:asciiTheme="minorHAnsi" w:hAnsiTheme="minorHAnsi" w:cstheme="minorHAnsi"/>
          <w:color w:val="auto"/>
          <w:sz w:val="24"/>
          <w:szCs w:val="24"/>
        </w:rPr>
        <w:t>kriteriengeleitete O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nline-Produktpräsentation erarbeiten. </w:t>
      </w:r>
      <w:r w:rsidR="00FC75E5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Die Anknüpfung an </w:t>
      </w:r>
      <w:r w:rsidR="00497C63" w:rsidRPr="00C968F4">
        <w:rPr>
          <w:rFonts w:asciiTheme="minorHAnsi" w:hAnsiTheme="minorHAnsi" w:cstheme="minorHAnsi"/>
          <w:color w:val="auto"/>
          <w:sz w:val="24"/>
          <w:szCs w:val="24"/>
        </w:rPr>
        <w:t>die Szenarien vorangegangener Lern</w:t>
      </w:r>
      <w:r w:rsidR="00386C4E" w:rsidRPr="00C968F4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497C63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situationen </w:t>
      </w:r>
      <w:r w:rsidR="00FC75E5" w:rsidRPr="00C968F4">
        <w:rPr>
          <w:rFonts w:asciiTheme="minorHAnsi" w:hAnsiTheme="minorHAnsi" w:cstheme="minorHAnsi"/>
          <w:color w:val="auto"/>
          <w:sz w:val="24"/>
          <w:szCs w:val="24"/>
        </w:rPr>
        <w:t>soll es den Schülerinnen und Schüler</w:t>
      </w:r>
      <w:r w:rsidR="00386C4E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n </w:t>
      </w:r>
      <w:r w:rsidR="00FC75E5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ermöglichen, sich mit der Lernsituation 2.3a zu identifizieren. </w:t>
      </w:r>
    </w:p>
    <w:p w14:paraId="551E9743" w14:textId="77777777" w:rsidR="0040027C" w:rsidRPr="00C968F4" w:rsidRDefault="00FC75E5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Dur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>ch die Bearbeitung der Lernsituation erkennen die Schülerinnen und Schüler die Bede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>tung einer sorgfältig gepflegten Datenbasis für eine kundenorientierte und verkaufsförder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>de Online-Produktpräsentation.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Sie </w:t>
      </w:r>
      <w:r w:rsidR="00E8404C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erwerben 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Anwendungs-Know-how in Bezug auf den Ei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n</w:t>
      </w:r>
      <w:r w:rsidR="00F01469" w:rsidRPr="00C968F4">
        <w:rPr>
          <w:rFonts w:asciiTheme="minorHAnsi" w:hAnsiTheme="minorHAnsi" w:cstheme="minorHAnsi"/>
          <w:color w:val="auto"/>
          <w:sz w:val="24"/>
          <w:szCs w:val="24"/>
        </w:rPr>
        <w:t>satz eines Warenwirtschaftssystems</w:t>
      </w:r>
      <w:r w:rsidR="0040027C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und </w:t>
      </w:r>
      <w:r w:rsidR="0080187C" w:rsidRPr="00C968F4">
        <w:rPr>
          <w:rFonts w:asciiTheme="minorHAnsi" w:hAnsiTheme="minorHAnsi" w:cstheme="minorHAnsi"/>
          <w:color w:val="auto"/>
          <w:sz w:val="24"/>
          <w:szCs w:val="24"/>
        </w:rPr>
        <w:t>informatische Kenntnisse zur Nutzung passender Schnittstellen zum Datenaustausch mit dem Online-Shop im Kontext realer Ursache-Wirkungsbeziehungen.</w:t>
      </w:r>
      <w:r w:rsidR="002C05DE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6A88B3" w14:textId="07BC4CE4" w:rsidR="006A0D80" w:rsidRPr="00C968F4" w:rsidRDefault="00FC75E5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Die erweiterte Schnittstellennutzung erfolgt vertiefend im Lernfeld 9. </w:t>
      </w:r>
    </w:p>
    <w:p w14:paraId="23F57D60" w14:textId="44C7E367" w:rsidR="0040027C" w:rsidRPr="00C968F4" w:rsidRDefault="00293860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Ein Kaufmann/eine Kauff</w:t>
      </w:r>
      <w:r w:rsidR="005717D2" w:rsidRPr="00C968F4">
        <w:rPr>
          <w:rFonts w:asciiTheme="minorHAnsi" w:hAnsiTheme="minorHAnsi" w:cstheme="minorHAnsi"/>
          <w:color w:val="auto"/>
          <w:sz w:val="24"/>
          <w:szCs w:val="24"/>
        </w:rPr>
        <w:t>r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au im E-Commerce arbeitet team- und projektorientiert.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Als A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>beitsgrundlage dient ein Arbeitsplan</w:t>
      </w:r>
      <w:r w:rsidR="00FC75E5" w:rsidRPr="00C968F4">
        <w:rPr>
          <w:rFonts w:asciiTheme="minorHAnsi" w:hAnsiTheme="minorHAnsi" w:cstheme="minorHAnsi"/>
          <w:color w:val="auto"/>
          <w:sz w:val="24"/>
          <w:szCs w:val="24"/>
        </w:rPr>
        <w:t>, ä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hnlich einem Projektplan, welcher den Schülerinnen und Schülern eine Übersicht und Orientierung bietet. </w:t>
      </w:r>
      <w:r w:rsidR="00B37B2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Während der gesamten Lernsituation wird die kommunikative Kompetenz 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und Teamorientierung der Schülerinnen und Schüler </w:t>
      </w:r>
      <w:r w:rsidR="00B37B29" w:rsidRPr="00C968F4">
        <w:rPr>
          <w:rFonts w:asciiTheme="minorHAnsi" w:hAnsiTheme="minorHAnsi" w:cstheme="minorHAnsi"/>
          <w:color w:val="auto"/>
          <w:sz w:val="24"/>
          <w:szCs w:val="24"/>
        </w:rPr>
        <w:t>gestärkt</w:t>
      </w:r>
      <w:r w:rsidR="005717D2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und dabei der selbstständige und sichere Umgang mit einer 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Kollaborationssoftware und </w:t>
      </w:r>
      <w:r w:rsidR="00814C6A" w:rsidRPr="00C968F4">
        <w:rPr>
          <w:rFonts w:asciiTheme="minorHAnsi" w:hAnsiTheme="minorHAnsi" w:cstheme="minorHAnsi"/>
          <w:color w:val="auto"/>
          <w:sz w:val="24"/>
          <w:szCs w:val="24"/>
        </w:rPr>
        <w:t>einem L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>ern</w:t>
      </w:r>
      <w:r w:rsidR="005717D2" w:rsidRPr="00C968F4">
        <w:rPr>
          <w:rFonts w:asciiTheme="minorHAnsi" w:hAnsiTheme="minorHAnsi" w:cstheme="minorHAnsi"/>
          <w:color w:val="auto"/>
          <w:sz w:val="24"/>
          <w:szCs w:val="24"/>
        </w:rPr>
        <w:t>management-System gefördert.</w:t>
      </w:r>
      <w:r w:rsidR="00B37B29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41BC099" w14:textId="6D7105B9" w:rsidR="006A0D80" w:rsidRPr="00C968F4" w:rsidRDefault="005717D2" w:rsidP="00795107">
      <w:pPr>
        <w:pStyle w:val="WBVGGrundtext"/>
        <w:spacing w:after="120" w:line="24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968F4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um Abschluss reflektieren die Lernenden ihre Arbeitsergebnisse und </w:t>
      </w:r>
      <w:r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den Arbeitsprozess und </w:t>
      </w:r>
      <w:r w:rsidR="006A0D80" w:rsidRPr="00C968F4">
        <w:rPr>
          <w:rFonts w:asciiTheme="minorHAnsi" w:hAnsiTheme="minorHAnsi" w:cstheme="minorHAnsi"/>
          <w:color w:val="auto"/>
          <w:sz w:val="24"/>
          <w:szCs w:val="24"/>
        </w:rPr>
        <w:t xml:space="preserve">führen ggf. Optimierungsmaßnahmen durch. </w:t>
      </w:r>
    </w:p>
    <w:p w14:paraId="27B88FE4" w14:textId="77777777" w:rsidR="00900776" w:rsidRPr="00C968F4" w:rsidRDefault="00900776" w:rsidP="00795107">
      <w:pPr>
        <w:spacing w:before="120" w:after="120"/>
        <w:rPr>
          <w:rFonts w:asciiTheme="minorHAnsi" w:hAnsiTheme="minorHAnsi" w:cstheme="minorHAnsi"/>
          <w:b/>
          <w:szCs w:val="24"/>
        </w:rPr>
      </w:pPr>
      <w:r w:rsidRPr="00C968F4">
        <w:rPr>
          <w:rFonts w:asciiTheme="minorHAnsi" w:hAnsiTheme="minorHAnsi" w:cstheme="minorHAnsi"/>
          <w:b/>
          <w:szCs w:val="24"/>
        </w:rPr>
        <w:br w:type="page"/>
      </w:r>
    </w:p>
    <w:tbl>
      <w:tblPr>
        <w:tblStyle w:val="Tabellenraster3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4239"/>
        <w:gridCol w:w="3655"/>
      </w:tblGrid>
      <w:tr w:rsidR="00EF2459" w:rsidRPr="00C968F4" w14:paraId="00FAB979" w14:textId="77777777" w:rsidTr="00A145B3">
        <w:trPr>
          <w:tblHeader/>
          <w:jc w:val="center"/>
        </w:trPr>
        <w:tc>
          <w:tcPr>
            <w:tcW w:w="9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11EF" w14:textId="27520F71" w:rsidR="00EF2459" w:rsidRPr="00C968F4" w:rsidRDefault="00EF2459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theme="minorHAnsi"/>
                <w:sz w:val="26"/>
                <w:szCs w:val="26"/>
              </w:rPr>
              <w:lastRenderedPageBreak/>
              <w:t>Strukturierung der Lernsituation über die Phasen der vollständigen Handlung</w:t>
            </w:r>
          </w:p>
        </w:tc>
      </w:tr>
      <w:tr w:rsidR="006A0D80" w:rsidRPr="00C968F4" w14:paraId="6FBD0032" w14:textId="77777777" w:rsidTr="00EF2459">
        <w:trPr>
          <w:tblHeader/>
          <w:jc w:val="center"/>
        </w:trPr>
        <w:tc>
          <w:tcPr>
            <w:tcW w:w="5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A7C5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color w:val="000000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Handlungsphasen der Lerngruppe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224E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Mögliche Methoden, Medien, Arbeits- und Sozialformen</w:t>
            </w:r>
          </w:p>
        </w:tc>
      </w:tr>
      <w:tr w:rsidR="006A0D80" w:rsidRPr="00C968F4" w14:paraId="24A852DE" w14:textId="77777777" w:rsidTr="00EF2459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73BA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Analysieren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8043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Problemstellung gemäß Einstiegs-szenario erfassen</w:t>
            </w:r>
          </w:p>
          <w:p w14:paraId="03FE4E14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Problemabgrenzung durch Able</w:t>
            </w:r>
            <w:r w:rsidRPr="00C968F4">
              <w:rPr>
                <w:rFonts w:cs="Times New Roman"/>
                <w:sz w:val="24"/>
                <w:szCs w:val="24"/>
              </w:rPr>
              <w:t>i</w:t>
            </w:r>
            <w:r w:rsidRPr="00C968F4">
              <w:rPr>
                <w:rFonts w:cs="Times New Roman"/>
                <w:sz w:val="24"/>
                <w:szCs w:val="24"/>
              </w:rPr>
              <w:t>tung eines konkreten Arbeitsau</w:t>
            </w:r>
            <w:r w:rsidRPr="00C968F4">
              <w:rPr>
                <w:rFonts w:cs="Times New Roman"/>
                <w:sz w:val="24"/>
                <w:szCs w:val="24"/>
              </w:rPr>
              <w:t>f</w:t>
            </w:r>
            <w:r w:rsidRPr="00C968F4">
              <w:rPr>
                <w:rFonts w:cs="Times New Roman"/>
                <w:sz w:val="24"/>
                <w:szCs w:val="24"/>
              </w:rPr>
              <w:t>trages vornehmen</w:t>
            </w:r>
          </w:p>
          <w:p w14:paraId="4E061089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 xml:space="preserve">Handlungsprodukt definieren </w:t>
            </w:r>
          </w:p>
          <w:p w14:paraId="59B5253F" w14:textId="436BC3DB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Rollenverständnis</w:t>
            </w:r>
            <w:r w:rsidR="0003522B" w:rsidRPr="00C968F4">
              <w:rPr>
                <w:rFonts w:cs="Times New Roman"/>
                <w:sz w:val="24"/>
                <w:szCs w:val="24"/>
              </w:rPr>
              <w:t>, auch in der Zusammenarbeit mit anderen B</w:t>
            </w:r>
            <w:r w:rsidR="0003522B" w:rsidRPr="00C968F4">
              <w:rPr>
                <w:rFonts w:cs="Times New Roman"/>
                <w:sz w:val="24"/>
                <w:szCs w:val="24"/>
              </w:rPr>
              <w:t>e</w:t>
            </w:r>
            <w:r w:rsidR="0003522B" w:rsidRPr="00C968F4">
              <w:rPr>
                <w:rFonts w:cs="Times New Roman"/>
                <w:sz w:val="24"/>
                <w:szCs w:val="24"/>
              </w:rPr>
              <w:t>reichen (z.B. IT-</w:t>
            </w:r>
            <w:r w:rsidRPr="00C968F4">
              <w:rPr>
                <w:rFonts w:cs="Times New Roman"/>
                <w:sz w:val="24"/>
                <w:szCs w:val="24"/>
              </w:rPr>
              <w:t xml:space="preserve"> </w:t>
            </w:r>
            <w:r w:rsidR="0003522B" w:rsidRPr="00C968F4">
              <w:rPr>
                <w:rFonts w:cs="Times New Roman"/>
                <w:sz w:val="24"/>
                <w:szCs w:val="24"/>
              </w:rPr>
              <w:t>Experten des U</w:t>
            </w:r>
            <w:r w:rsidR="0003522B" w:rsidRPr="00C968F4">
              <w:rPr>
                <w:rFonts w:cs="Times New Roman"/>
                <w:sz w:val="24"/>
                <w:szCs w:val="24"/>
              </w:rPr>
              <w:t>n</w:t>
            </w:r>
            <w:r w:rsidR="0003522B" w:rsidRPr="00C968F4">
              <w:rPr>
                <w:rFonts w:cs="Times New Roman"/>
                <w:sz w:val="24"/>
                <w:szCs w:val="24"/>
              </w:rPr>
              <w:t xml:space="preserve">ternehmens, Dienstleister)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B4AF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Plenumsgespräch</w:t>
            </w:r>
          </w:p>
          <w:p w14:paraId="06BA6C67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Schüleraktivität</w:t>
            </w:r>
          </w:p>
          <w:p w14:paraId="38DD6231" w14:textId="77777777" w:rsidR="006A0D80" w:rsidRPr="00C968F4" w:rsidRDefault="006A0D80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60"/>
              <w:rPr>
                <w:rFonts w:cs="Times New Roman"/>
                <w:sz w:val="24"/>
                <w:szCs w:val="24"/>
              </w:rPr>
            </w:pPr>
          </w:p>
          <w:p w14:paraId="200CC32D" w14:textId="77777777" w:rsidR="006A0D80" w:rsidRPr="00C968F4" w:rsidRDefault="006A0D80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/>
              <w:rPr>
                <w:rFonts w:cs="Times New Roman"/>
                <w:sz w:val="24"/>
                <w:szCs w:val="24"/>
              </w:rPr>
            </w:pPr>
          </w:p>
        </w:tc>
      </w:tr>
      <w:tr w:rsidR="006A0D80" w:rsidRPr="00C968F4" w14:paraId="02FC650E" w14:textId="77777777" w:rsidTr="00EF2459">
        <w:trPr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C6FE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Planen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EEE5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Zielvereinbarungen innerhalb des Plenums treffen</w:t>
            </w:r>
          </w:p>
          <w:p w14:paraId="2A367AE5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Zeitrahmen für die Bearbeitung des Arbeitsauftrages für alle Teams verbindlich festlegen</w:t>
            </w:r>
          </w:p>
          <w:p w14:paraId="07156369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Teams für die arbeitsgleiche Gruppenarbeit bilden</w:t>
            </w:r>
          </w:p>
          <w:p w14:paraId="5A9359CE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Einführung in das verwendete Learning Management System zur Unterstützung der Arbeit</w:t>
            </w:r>
            <w:r w:rsidRPr="00C968F4">
              <w:rPr>
                <w:rFonts w:cs="Times New Roman"/>
                <w:sz w:val="24"/>
                <w:szCs w:val="24"/>
              </w:rPr>
              <w:t>s</w:t>
            </w:r>
            <w:r w:rsidRPr="00C968F4">
              <w:rPr>
                <w:rFonts w:cs="Times New Roman"/>
                <w:sz w:val="24"/>
                <w:szCs w:val="24"/>
              </w:rPr>
              <w:t>prozesse innerhalb der Gruppe</w:t>
            </w:r>
          </w:p>
          <w:p w14:paraId="48EBC769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Arbeitsschritte innerhalb der ei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 xml:space="preserve">zelnen Gruppe festlegen </w:t>
            </w:r>
          </w:p>
          <w:p w14:paraId="184DE209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Verantwortlichkeiten innerhalb des Teams bestimmen</w:t>
            </w:r>
          </w:p>
          <w:p w14:paraId="7EE53368" w14:textId="0AB437D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Informationsquellen recherchi</w:t>
            </w:r>
            <w:r w:rsidRPr="00C968F4">
              <w:rPr>
                <w:rFonts w:cs="Times New Roman"/>
                <w:sz w:val="24"/>
                <w:szCs w:val="24"/>
              </w:rPr>
              <w:t>e</w:t>
            </w:r>
            <w:r w:rsidRPr="00C968F4">
              <w:rPr>
                <w:rFonts w:cs="Times New Roman"/>
                <w:sz w:val="24"/>
                <w:szCs w:val="24"/>
              </w:rPr>
              <w:t>ren</w:t>
            </w:r>
            <w:r w:rsidR="00814C6A" w:rsidRPr="00C968F4">
              <w:rPr>
                <w:rFonts w:cs="Times New Roman"/>
                <w:sz w:val="24"/>
                <w:szCs w:val="24"/>
              </w:rPr>
              <w:t xml:space="preserve">, </w:t>
            </w:r>
            <w:r w:rsidRPr="00C968F4">
              <w:rPr>
                <w:rFonts w:cs="Times New Roman"/>
                <w:sz w:val="24"/>
                <w:szCs w:val="24"/>
              </w:rPr>
              <w:t>Fundstellen dokumentieren</w:t>
            </w:r>
          </w:p>
          <w:p w14:paraId="39F20934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Form der Ergebnissicherung u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>ter Berücksichtigung der Ve</w:t>
            </w:r>
            <w:r w:rsidRPr="00C968F4">
              <w:rPr>
                <w:rFonts w:cs="Times New Roman"/>
                <w:sz w:val="24"/>
                <w:szCs w:val="24"/>
              </w:rPr>
              <w:t>r</w:t>
            </w:r>
            <w:r w:rsidRPr="00C968F4">
              <w:rPr>
                <w:rFonts w:cs="Times New Roman"/>
                <w:sz w:val="24"/>
                <w:szCs w:val="24"/>
              </w:rPr>
              <w:t>wendung kollaborativer Software und eines Learning Management Systems abstimmen</w:t>
            </w:r>
          </w:p>
          <w:p w14:paraId="1557E370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Formen der Dokumentation und Präsentation des finalen Han</w:t>
            </w:r>
            <w:r w:rsidRPr="00C968F4">
              <w:rPr>
                <w:rFonts w:cs="Times New Roman"/>
                <w:sz w:val="24"/>
                <w:szCs w:val="24"/>
              </w:rPr>
              <w:t>d</w:t>
            </w:r>
            <w:r w:rsidRPr="00C968F4">
              <w:rPr>
                <w:rFonts w:cs="Times New Roman"/>
                <w:sz w:val="24"/>
                <w:szCs w:val="24"/>
              </w:rPr>
              <w:t>lungsproduktes festlegen</w:t>
            </w:r>
          </w:p>
          <w:p w14:paraId="67BD0777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Zeitrahmen für die einzelnen A</w:t>
            </w:r>
            <w:r w:rsidRPr="00C968F4">
              <w:rPr>
                <w:rFonts w:cs="Times New Roman"/>
                <w:sz w:val="24"/>
                <w:szCs w:val="24"/>
              </w:rPr>
              <w:t>r</w:t>
            </w:r>
            <w:r w:rsidRPr="00C968F4">
              <w:rPr>
                <w:rFonts w:cs="Times New Roman"/>
                <w:sz w:val="24"/>
                <w:szCs w:val="24"/>
              </w:rPr>
              <w:t>beitsschritte absprechen</w:t>
            </w:r>
          </w:p>
          <w:p w14:paraId="59D460E2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Aufgabenverteilung vornehmen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9338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Plenumsarbeit</w:t>
            </w:r>
          </w:p>
          <w:p w14:paraId="5C3DB25E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arbeitsgleiche Gruppena</w:t>
            </w:r>
            <w:r w:rsidRPr="00C968F4">
              <w:rPr>
                <w:rFonts w:cs="Times New Roman"/>
                <w:sz w:val="24"/>
                <w:szCs w:val="24"/>
              </w:rPr>
              <w:t>r</w:t>
            </w:r>
            <w:r w:rsidRPr="00C968F4">
              <w:rPr>
                <w:rFonts w:cs="Times New Roman"/>
                <w:sz w:val="24"/>
                <w:szCs w:val="24"/>
              </w:rPr>
              <w:t xml:space="preserve">beit </w:t>
            </w:r>
          </w:p>
          <w:p w14:paraId="3EA8BE89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digitaler Arbeitsplan mit Zeitstrahl und Aufgabe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>verteilung</w:t>
            </w:r>
          </w:p>
          <w:p w14:paraId="6AA25134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eastAsia="Calibri" w:cs="Times New Roman"/>
                <w:sz w:val="24"/>
                <w:szCs w:val="24"/>
              </w:rPr>
            </w:pPr>
            <w:r w:rsidRPr="00C968F4">
              <w:rPr>
                <w:rFonts w:eastAsia="Calibri" w:cs="Times New Roman"/>
                <w:sz w:val="24"/>
                <w:szCs w:val="24"/>
              </w:rPr>
              <w:t>Internetrecherche zum Au</w:t>
            </w:r>
            <w:r w:rsidRPr="00C968F4">
              <w:rPr>
                <w:rFonts w:eastAsia="Calibri" w:cs="Times New Roman"/>
                <w:sz w:val="24"/>
                <w:szCs w:val="24"/>
              </w:rPr>
              <w:t>f</w:t>
            </w:r>
            <w:r w:rsidRPr="00C968F4">
              <w:rPr>
                <w:rFonts w:eastAsia="Calibri" w:cs="Times New Roman"/>
                <w:sz w:val="24"/>
                <w:szCs w:val="24"/>
              </w:rPr>
              <w:t>finden von Information</w:t>
            </w:r>
            <w:r w:rsidRPr="00C968F4">
              <w:rPr>
                <w:rFonts w:eastAsia="Calibri" w:cs="Times New Roman"/>
                <w:sz w:val="24"/>
                <w:szCs w:val="24"/>
              </w:rPr>
              <w:t>s</w:t>
            </w:r>
            <w:r w:rsidRPr="00C968F4">
              <w:rPr>
                <w:rFonts w:eastAsia="Calibri" w:cs="Times New Roman"/>
                <w:sz w:val="24"/>
                <w:szCs w:val="24"/>
              </w:rPr>
              <w:t xml:space="preserve">quellen </w:t>
            </w:r>
          </w:p>
          <w:p w14:paraId="70122402" w14:textId="18456F72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C968F4">
              <w:rPr>
                <w:rFonts w:eastAsia="Calibri" w:cs="Times New Roman"/>
                <w:sz w:val="24"/>
                <w:szCs w:val="24"/>
                <w:lang w:val="en-US"/>
              </w:rPr>
              <w:t>Learning Management Sy</w:t>
            </w:r>
            <w:r w:rsidRPr="00C968F4">
              <w:rPr>
                <w:rFonts w:eastAsia="Calibri" w:cs="Times New Roman"/>
                <w:sz w:val="24"/>
                <w:szCs w:val="24"/>
                <w:lang w:val="en-US"/>
              </w:rPr>
              <w:t>s</w:t>
            </w:r>
            <w:r w:rsidRPr="00C968F4">
              <w:rPr>
                <w:rFonts w:eastAsia="Calibri" w:cs="Times New Roman"/>
                <w:sz w:val="24"/>
                <w:szCs w:val="24"/>
                <w:lang w:val="en-US"/>
              </w:rPr>
              <w:t>tem (z.</w:t>
            </w:r>
            <w:r w:rsidR="00814C6A" w:rsidRPr="00C968F4">
              <w:rPr>
                <w:rFonts w:eastAsia="Calibri" w:cs="Times New Roman"/>
                <w:sz w:val="24"/>
                <w:szCs w:val="24"/>
                <w:lang w:val="en-US"/>
              </w:rPr>
              <w:t xml:space="preserve"> </w:t>
            </w:r>
            <w:r w:rsidRPr="00C968F4">
              <w:rPr>
                <w:rFonts w:eastAsia="Calibri" w:cs="Times New Roman"/>
                <w:sz w:val="24"/>
                <w:szCs w:val="24"/>
                <w:lang w:val="en-US"/>
              </w:rPr>
              <w:t>B. Moodle)</w:t>
            </w:r>
          </w:p>
        </w:tc>
      </w:tr>
    </w:tbl>
    <w:p w14:paraId="27BD752C" w14:textId="77777777" w:rsidR="00900776" w:rsidRPr="00C968F4" w:rsidRDefault="00900776">
      <w:pPr>
        <w:rPr>
          <w:rFonts w:asciiTheme="minorHAnsi" w:hAnsiTheme="minorHAnsi"/>
          <w:lang w:val="en-US"/>
        </w:rPr>
      </w:pPr>
    </w:p>
    <w:tbl>
      <w:tblPr>
        <w:tblStyle w:val="Tabellenraster3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4159"/>
        <w:gridCol w:w="3591"/>
      </w:tblGrid>
      <w:tr w:rsidR="0032165C" w:rsidRPr="00C968F4" w14:paraId="09E2B8CA" w14:textId="77777777" w:rsidTr="00900776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DD79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lastRenderedPageBreak/>
              <w:t>Durchführen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630" w14:textId="2BAE5D3E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relevante Produktdetails für die Online-Produktpräsentation identifizieren, sammeln und in einer digitalen Übersicht festha</w:t>
            </w:r>
            <w:r w:rsidRPr="00C968F4">
              <w:rPr>
                <w:rFonts w:cs="Times New Roman"/>
                <w:sz w:val="24"/>
                <w:szCs w:val="24"/>
              </w:rPr>
              <w:t>l</w:t>
            </w:r>
            <w:r w:rsidRPr="00C968F4">
              <w:rPr>
                <w:rFonts w:cs="Times New Roman"/>
                <w:sz w:val="24"/>
                <w:szCs w:val="24"/>
              </w:rPr>
              <w:t>ten</w:t>
            </w:r>
          </w:p>
          <w:p w14:paraId="76B890FF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verschiedene nutzbare D</w:t>
            </w:r>
            <w:r w:rsidRPr="00C968F4">
              <w:rPr>
                <w:rFonts w:cs="Times New Roman"/>
                <w:sz w:val="24"/>
                <w:szCs w:val="24"/>
              </w:rPr>
              <w:t>a</w:t>
            </w:r>
            <w:r w:rsidRPr="00C968F4">
              <w:rPr>
                <w:rFonts w:cs="Times New Roman"/>
                <w:sz w:val="24"/>
                <w:szCs w:val="24"/>
              </w:rPr>
              <w:t xml:space="preserve">teiformate </w:t>
            </w: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(*.</w:t>
            </w:r>
            <w:proofErr w:type="spellStart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pdf</w:t>
            </w:r>
            <w:proofErr w:type="spellEnd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, *.</w:t>
            </w:r>
            <w:proofErr w:type="spellStart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bmp</w:t>
            </w:r>
            <w:proofErr w:type="spellEnd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, *.mp3, *.</w:t>
            </w:r>
            <w:proofErr w:type="spellStart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avi</w:t>
            </w:r>
            <w:proofErr w:type="spellEnd"/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 xml:space="preserve"> etc.) klären</w:t>
            </w:r>
          </w:p>
          <w:p w14:paraId="219F845E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Produkte gemäß den zuvor def</w:t>
            </w:r>
            <w:r w:rsidRPr="00C968F4">
              <w:rPr>
                <w:rFonts w:cs="Times New Roman"/>
                <w:sz w:val="24"/>
                <w:szCs w:val="24"/>
              </w:rPr>
              <w:t>i</w:t>
            </w:r>
            <w:r w:rsidRPr="00C968F4">
              <w:rPr>
                <w:rFonts w:cs="Times New Roman"/>
                <w:sz w:val="24"/>
                <w:szCs w:val="24"/>
              </w:rPr>
              <w:t>nierten Details in das Ware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>wirtschaftssystem einpflegen</w:t>
            </w:r>
          </w:p>
          <w:p w14:paraId="7FA5DC31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passende Softwareschnittstellen zum Datenaustausch mit dem Online-Vertriebssystem (Webshop-Software) nutzen</w:t>
            </w:r>
          </w:p>
          <w:p w14:paraId="18FD4009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Kriterien zur Auffindbarkeit (Schlagwörter etc.) festlegen und dokumentieren</w:t>
            </w:r>
          </w:p>
          <w:p w14:paraId="468E530A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„Probelauf“ der eingestellten Produkte vornehmen und deren Auffindbarkeit im Hinblick auf Usability überprüfen</w:t>
            </w:r>
          </w:p>
          <w:p w14:paraId="5D148232" w14:textId="11F7067E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zusammenfassende Dokument</w:t>
            </w:r>
            <w:r w:rsidRPr="00C968F4">
              <w:rPr>
                <w:rFonts w:cs="Times New Roman"/>
                <w:sz w:val="24"/>
                <w:szCs w:val="24"/>
              </w:rPr>
              <w:t>a</w:t>
            </w:r>
            <w:r w:rsidRPr="00C968F4">
              <w:rPr>
                <w:rFonts w:cs="Times New Roman"/>
                <w:sz w:val="24"/>
                <w:szCs w:val="24"/>
              </w:rPr>
              <w:t>tion der gesammelten Ergebni</w:t>
            </w:r>
            <w:r w:rsidRPr="00C968F4">
              <w:rPr>
                <w:rFonts w:cs="Times New Roman"/>
                <w:sz w:val="24"/>
                <w:szCs w:val="24"/>
              </w:rPr>
              <w:t>s</w:t>
            </w:r>
            <w:r w:rsidRPr="00C968F4">
              <w:rPr>
                <w:rFonts w:cs="Times New Roman"/>
                <w:sz w:val="24"/>
                <w:szCs w:val="24"/>
              </w:rPr>
              <w:t>se in eine</w:t>
            </w:r>
            <w:r w:rsidR="0003522B" w:rsidRPr="00C968F4">
              <w:rPr>
                <w:rFonts w:cs="Times New Roman"/>
                <w:sz w:val="24"/>
                <w:szCs w:val="24"/>
              </w:rPr>
              <w:t>m begründeten Vo</w:t>
            </w:r>
            <w:r w:rsidR="0003522B" w:rsidRPr="00C968F4">
              <w:rPr>
                <w:rFonts w:cs="Times New Roman"/>
                <w:sz w:val="24"/>
                <w:szCs w:val="24"/>
              </w:rPr>
              <w:t>r</w:t>
            </w:r>
            <w:r w:rsidR="0003522B" w:rsidRPr="00C968F4">
              <w:rPr>
                <w:rFonts w:cs="Times New Roman"/>
                <w:sz w:val="24"/>
                <w:szCs w:val="24"/>
              </w:rPr>
              <w:t>schlag für die relevanten Pr</w:t>
            </w:r>
            <w:r w:rsidR="0003522B" w:rsidRPr="00C968F4">
              <w:rPr>
                <w:rFonts w:cs="Times New Roman"/>
                <w:sz w:val="24"/>
                <w:szCs w:val="24"/>
              </w:rPr>
              <w:t>o</w:t>
            </w:r>
            <w:r w:rsidR="0003522B" w:rsidRPr="00C968F4">
              <w:rPr>
                <w:rFonts w:cs="Times New Roman"/>
                <w:sz w:val="24"/>
                <w:szCs w:val="24"/>
              </w:rPr>
              <w:t xml:space="preserve">duktdetails und Ansichten im </w:t>
            </w:r>
            <w:proofErr w:type="spellStart"/>
            <w:r w:rsidR="0003522B" w:rsidRPr="00C968F4">
              <w:rPr>
                <w:rFonts w:cs="Times New Roman"/>
                <w:sz w:val="24"/>
                <w:szCs w:val="24"/>
              </w:rPr>
              <w:t>Testshop</w:t>
            </w:r>
            <w:proofErr w:type="spellEnd"/>
          </w:p>
          <w:p w14:paraId="76D390A7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Handlungsempfehlung dem Pl</w:t>
            </w:r>
            <w:r w:rsidRPr="00C968F4">
              <w:rPr>
                <w:rFonts w:cs="Times New Roman"/>
                <w:sz w:val="24"/>
                <w:szCs w:val="24"/>
              </w:rPr>
              <w:t>e</w:t>
            </w:r>
            <w:r w:rsidRPr="00C968F4">
              <w:rPr>
                <w:rFonts w:cs="Times New Roman"/>
                <w:sz w:val="24"/>
                <w:szCs w:val="24"/>
              </w:rPr>
              <w:t>num präsentieren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45D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Arbeitsplan</w:t>
            </w:r>
          </w:p>
          <w:p w14:paraId="07887AA1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Arbeits- und Informat</w:t>
            </w:r>
            <w:r w:rsidRPr="00C968F4">
              <w:rPr>
                <w:rFonts w:cs="Times New Roman"/>
                <w:sz w:val="24"/>
                <w:szCs w:val="24"/>
              </w:rPr>
              <w:t>i</w:t>
            </w:r>
            <w:r w:rsidRPr="00C968F4">
              <w:rPr>
                <w:rFonts w:cs="Times New Roman"/>
                <w:sz w:val="24"/>
                <w:szCs w:val="24"/>
              </w:rPr>
              <w:t xml:space="preserve">onsmaterial </w:t>
            </w:r>
          </w:p>
          <w:p w14:paraId="19D539F9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Fachliteratur, Lehrbuch</w:t>
            </w:r>
          </w:p>
          <w:p w14:paraId="241DC3E0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Internetrecherche</w:t>
            </w:r>
          </w:p>
          <w:p w14:paraId="24F0279E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Programme für Textvera</w:t>
            </w:r>
            <w:r w:rsidRPr="00C968F4">
              <w:rPr>
                <w:rFonts w:cs="Times New Roman"/>
                <w:sz w:val="24"/>
                <w:szCs w:val="24"/>
              </w:rPr>
              <w:t>r</w:t>
            </w:r>
            <w:r w:rsidRPr="00C968F4">
              <w:rPr>
                <w:rFonts w:cs="Times New Roman"/>
                <w:sz w:val="24"/>
                <w:szCs w:val="24"/>
              </w:rPr>
              <w:t>beitung und Visualisieru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>gen von Inhalten</w:t>
            </w:r>
          </w:p>
          <w:p w14:paraId="2C2C9791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verwendetes Warenwir</w:t>
            </w:r>
            <w:r w:rsidRPr="00C968F4">
              <w:rPr>
                <w:rFonts w:cs="Times New Roman"/>
                <w:sz w:val="24"/>
                <w:szCs w:val="24"/>
              </w:rPr>
              <w:t>t</w:t>
            </w:r>
            <w:r w:rsidRPr="00C968F4">
              <w:rPr>
                <w:rFonts w:cs="Times New Roman"/>
                <w:sz w:val="24"/>
                <w:szCs w:val="24"/>
              </w:rPr>
              <w:t>schaftssystem</w:t>
            </w:r>
          </w:p>
          <w:p w14:paraId="45BF4DDF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verwendete Webshop-Software</w:t>
            </w:r>
          </w:p>
          <w:p w14:paraId="4C73D69B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Präsentation</w:t>
            </w:r>
          </w:p>
          <w:p w14:paraId="12FCDE24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Teamarbeit</w:t>
            </w:r>
          </w:p>
        </w:tc>
      </w:tr>
      <w:tr w:rsidR="0032165C" w:rsidRPr="00C968F4" w14:paraId="12773DC7" w14:textId="77777777" w:rsidTr="00900776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C937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Kontrollieren</w:t>
            </w:r>
          </w:p>
          <w:p w14:paraId="464F26C9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Bewerten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C4C2" w14:textId="0E0FBE7A" w:rsidR="006A0D80" w:rsidRPr="00C968F4" w:rsidRDefault="0032165C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Bewertung der Produktpräse</w:t>
            </w:r>
            <w:r w:rsidRPr="00C968F4">
              <w:rPr>
                <w:rFonts w:cs="Times New Roman"/>
                <w:sz w:val="24"/>
                <w:szCs w:val="24"/>
              </w:rPr>
              <w:t>n</w:t>
            </w:r>
            <w:r w:rsidRPr="00C968F4">
              <w:rPr>
                <w:rFonts w:cs="Times New Roman"/>
                <w:sz w:val="24"/>
                <w:szCs w:val="24"/>
              </w:rPr>
              <w:t>tation</w:t>
            </w:r>
          </w:p>
          <w:p w14:paraId="577C3B37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sz w:val="24"/>
                <w:szCs w:val="24"/>
              </w:rPr>
            </w:pPr>
            <w:r w:rsidRPr="00C968F4">
              <w:rPr>
                <w:rFonts w:cs="Times New Roman"/>
                <w:sz w:val="24"/>
                <w:szCs w:val="24"/>
              </w:rPr>
              <w:t>Ergebnisse kriteriengeleitet b</w:t>
            </w:r>
            <w:r w:rsidRPr="00C968F4">
              <w:rPr>
                <w:rFonts w:cs="Times New Roman"/>
                <w:sz w:val="24"/>
                <w:szCs w:val="24"/>
              </w:rPr>
              <w:t>e</w:t>
            </w:r>
            <w:r w:rsidRPr="00C968F4">
              <w:rPr>
                <w:rFonts w:cs="Times New Roman"/>
                <w:sz w:val="24"/>
                <w:szCs w:val="24"/>
              </w:rPr>
              <w:t>urteilen und im Plenum bespr</w:t>
            </w:r>
            <w:r w:rsidRPr="00C968F4">
              <w:rPr>
                <w:rFonts w:cs="Times New Roman"/>
                <w:sz w:val="24"/>
                <w:szCs w:val="24"/>
              </w:rPr>
              <w:t>e</w:t>
            </w:r>
            <w:r w:rsidRPr="00C968F4">
              <w:rPr>
                <w:rFonts w:cs="Times New Roman"/>
                <w:sz w:val="24"/>
                <w:szCs w:val="24"/>
              </w:rPr>
              <w:t>chen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92A" w14:textId="77777777" w:rsidR="00386C4E" w:rsidRPr="00C968F4" w:rsidRDefault="0032165C" w:rsidP="00386C4E">
            <w:pPr>
              <w:pStyle w:val="WBVGListePfeilGrn"/>
              <w:numPr>
                <w:ilvl w:val="0"/>
                <w:numId w:val="25"/>
              </w:numPr>
              <w:spacing w:before="60" w:after="60"/>
              <w:ind w:left="714" w:hanging="357"/>
              <w:rPr>
                <w:rFonts w:eastAsia="Calibri" w:cs="Times New Roman"/>
                <w:sz w:val="24"/>
                <w:szCs w:val="24"/>
              </w:rPr>
            </w:pPr>
            <w:r w:rsidRPr="00C968F4">
              <w:rPr>
                <w:rFonts w:eastAsia="Calibri" w:cs="Times New Roman"/>
                <w:sz w:val="24"/>
                <w:szCs w:val="24"/>
              </w:rPr>
              <w:t>Für die Produktpräsentat</w:t>
            </w:r>
            <w:r w:rsidRPr="00C968F4">
              <w:rPr>
                <w:rFonts w:eastAsia="Calibri" w:cs="Times New Roman"/>
                <w:sz w:val="24"/>
                <w:szCs w:val="24"/>
              </w:rPr>
              <w:t>i</w:t>
            </w:r>
            <w:r w:rsidRPr="00C968F4">
              <w:rPr>
                <w:rFonts w:eastAsia="Calibri" w:cs="Times New Roman"/>
                <w:sz w:val="24"/>
                <w:szCs w:val="24"/>
              </w:rPr>
              <w:t xml:space="preserve">on: </w:t>
            </w:r>
          </w:p>
          <w:p w14:paraId="13D94D4D" w14:textId="12E9E75B" w:rsidR="006A0D80" w:rsidRPr="00C968F4" w:rsidRDefault="0032165C" w:rsidP="00386C4E">
            <w:pPr>
              <w:pStyle w:val="WBVGListePfeilGrn"/>
              <w:numPr>
                <w:ilvl w:val="0"/>
                <w:numId w:val="0"/>
              </w:numPr>
              <w:spacing w:after="120"/>
              <w:ind w:left="709"/>
              <w:rPr>
                <w:rFonts w:eastAsia="Calibri" w:cs="Times New Roman"/>
                <w:sz w:val="24"/>
                <w:szCs w:val="24"/>
              </w:rPr>
            </w:pPr>
            <w:r w:rsidRPr="00C968F4">
              <w:rPr>
                <w:rFonts w:eastAsia="Calibri" w:cs="Times New Roman"/>
                <w:sz w:val="24"/>
                <w:szCs w:val="24"/>
              </w:rPr>
              <w:t>Übersicht über Produktd</w:t>
            </w:r>
            <w:r w:rsidRPr="00C968F4">
              <w:rPr>
                <w:rFonts w:eastAsia="Calibri" w:cs="Times New Roman"/>
                <w:sz w:val="24"/>
                <w:szCs w:val="24"/>
              </w:rPr>
              <w:t>e</w:t>
            </w:r>
            <w:r w:rsidRPr="00C968F4">
              <w:rPr>
                <w:rFonts w:eastAsia="Calibri" w:cs="Times New Roman"/>
                <w:sz w:val="24"/>
                <w:szCs w:val="24"/>
              </w:rPr>
              <w:t>tails, Leitfaden für die E</w:t>
            </w:r>
            <w:r w:rsidRPr="00C968F4">
              <w:rPr>
                <w:rFonts w:eastAsia="Calibri" w:cs="Times New Roman"/>
                <w:sz w:val="24"/>
                <w:szCs w:val="24"/>
              </w:rPr>
              <w:t>r</w:t>
            </w:r>
            <w:r w:rsidRPr="00C968F4">
              <w:rPr>
                <w:rFonts w:eastAsia="Calibri" w:cs="Times New Roman"/>
                <w:sz w:val="24"/>
                <w:szCs w:val="24"/>
              </w:rPr>
              <w:t>stellung einer kriterienor</w:t>
            </w:r>
            <w:r w:rsidRPr="00C968F4">
              <w:rPr>
                <w:rFonts w:eastAsia="Calibri" w:cs="Times New Roman"/>
                <w:sz w:val="24"/>
                <w:szCs w:val="24"/>
              </w:rPr>
              <w:t>i</w:t>
            </w:r>
            <w:r w:rsidRPr="00C968F4">
              <w:rPr>
                <w:rFonts w:eastAsia="Calibri" w:cs="Times New Roman"/>
                <w:sz w:val="24"/>
                <w:szCs w:val="24"/>
              </w:rPr>
              <w:t>entierten Online-Produkt</w:t>
            </w:r>
            <w:r w:rsidR="00386C4E" w:rsidRPr="00C968F4">
              <w:rPr>
                <w:rFonts w:eastAsia="Calibri" w:cs="Times New Roman"/>
                <w:sz w:val="24"/>
                <w:szCs w:val="24"/>
              </w:rPr>
              <w:t>-</w:t>
            </w:r>
            <w:r w:rsidRPr="00C968F4">
              <w:rPr>
                <w:rFonts w:eastAsia="Calibri" w:cs="Times New Roman"/>
                <w:sz w:val="24"/>
                <w:szCs w:val="24"/>
              </w:rPr>
              <w:t>präsentation, Anford</w:t>
            </w:r>
            <w:r w:rsidRPr="00C968F4">
              <w:rPr>
                <w:rFonts w:eastAsia="Calibri" w:cs="Times New Roman"/>
                <w:sz w:val="24"/>
                <w:szCs w:val="24"/>
              </w:rPr>
              <w:t>e</w:t>
            </w:r>
            <w:r w:rsidRPr="00C968F4">
              <w:rPr>
                <w:rFonts w:eastAsia="Calibri" w:cs="Times New Roman"/>
                <w:sz w:val="24"/>
                <w:szCs w:val="24"/>
              </w:rPr>
              <w:t xml:space="preserve">rungskatalog aus </w:t>
            </w:r>
            <w:r w:rsidR="00BD70B4" w:rsidRPr="00C968F4">
              <w:rPr>
                <w:rFonts w:eastAsia="Calibri" w:cs="Times New Roman"/>
                <w:sz w:val="24"/>
                <w:szCs w:val="24"/>
              </w:rPr>
              <w:t>der Ler</w:t>
            </w:r>
            <w:r w:rsidR="00BD70B4" w:rsidRPr="00C968F4">
              <w:rPr>
                <w:rFonts w:eastAsia="Calibri" w:cs="Times New Roman"/>
                <w:sz w:val="24"/>
                <w:szCs w:val="24"/>
              </w:rPr>
              <w:t>n</w:t>
            </w:r>
            <w:r w:rsidR="00BD70B4" w:rsidRPr="00C968F4">
              <w:rPr>
                <w:rFonts w:eastAsia="Calibri" w:cs="Times New Roman"/>
                <w:sz w:val="24"/>
                <w:szCs w:val="24"/>
              </w:rPr>
              <w:t>situation 2.2</w:t>
            </w:r>
          </w:p>
        </w:tc>
      </w:tr>
      <w:tr w:rsidR="0032165C" w:rsidRPr="00C968F4" w14:paraId="4B10FF54" w14:textId="77777777" w:rsidTr="00900776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6D0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t>Reflektieren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2FA" w14:textId="5BBC8D1B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auto"/>
                <w:sz w:val="24"/>
                <w:szCs w:val="24"/>
              </w:rPr>
            </w:pPr>
            <w:r w:rsidRPr="00C968F4">
              <w:rPr>
                <w:rFonts w:cs="Times New Roman"/>
                <w:color w:val="auto"/>
                <w:sz w:val="24"/>
                <w:szCs w:val="24"/>
              </w:rPr>
              <w:t>fertige Handlungsprodukte zur Online-Produktpräsentation i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n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haltlich kritisch reflektieren und ggf. Optimierungsmaßnahmen einleiten</w:t>
            </w:r>
          </w:p>
          <w:p w14:paraId="6B7E356C" w14:textId="77777777" w:rsidR="00814C6A" w:rsidRPr="00C968F4" w:rsidRDefault="00814C6A" w:rsidP="00814C6A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60"/>
              <w:rPr>
                <w:rFonts w:cs="Times New Roman"/>
                <w:color w:val="auto"/>
                <w:sz w:val="24"/>
                <w:szCs w:val="24"/>
              </w:rPr>
            </w:pPr>
          </w:p>
          <w:p w14:paraId="3C37C3AB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auto"/>
                <w:sz w:val="24"/>
                <w:szCs w:val="24"/>
              </w:rPr>
            </w:pPr>
            <w:r w:rsidRPr="00C968F4">
              <w:rPr>
                <w:rFonts w:cs="Times New Roman"/>
                <w:color w:val="auto"/>
                <w:sz w:val="24"/>
                <w:szCs w:val="24"/>
              </w:rPr>
              <w:t>Arbeitsplan und die einzelnen Prozessschritte im Hinblick auf Effizienz und Zielerreichung r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e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flektieren</w:t>
            </w:r>
          </w:p>
          <w:p w14:paraId="425A43EC" w14:textId="16B39401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120"/>
              <w:ind w:left="714" w:hanging="357"/>
              <w:rPr>
                <w:rFonts w:cs="Times New Roman"/>
                <w:color w:val="auto"/>
                <w:sz w:val="24"/>
                <w:szCs w:val="24"/>
              </w:rPr>
            </w:pPr>
            <w:r w:rsidRPr="00C968F4">
              <w:rPr>
                <w:rFonts w:cs="Times New Roman"/>
                <w:color w:val="auto"/>
                <w:sz w:val="24"/>
                <w:szCs w:val="24"/>
              </w:rPr>
              <w:t xml:space="preserve">Ablauf der </w:t>
            </w:r>
            <w:r w:rsidR="0032165C" w:rsidRPr="00C968F4">
              <w:rPr>
                <w:rFonts w:cs="Times New Roman"/>
                <w:color w:val="auto"/>
                <w:sz w:val="24"/>
                <w:szCs w:val="24"/>
              </w:rPr>
              <w:t>softwaregestützten Gr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uppenarbeitsphase beleuc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h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ten (</w:t>
            </w:r>
            <w:r w:rsidR="0032165C" w:rsidRPr="00C968F4">
              <w:rPr>
                <w:rFonts w:cs="Times New Roman"/>
                <w:color w:val="auto"/>
                <w:sz w:val="24"/>
                <w:szCs w:val="24"/>
              </w:rPr>
              <w:t>z.B. Vor- und Nachteile des Einsatzes von Groupware)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 xml:space="preserve"> und ggf. Änderungsbedarfe dok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u</w:t>
            </w:r>
            <w:r w:rsidRPr="00C968F4">
              <w:rPr>
                <w:rFonts w:cs="Times New Roman"/>
                <w:color w:val="auto"/>
                <w:sz w:val="24"/>
                <w:szCs w:val="24"/>
              </w:rPr>
              <w:t>mentieren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958B" w14:textId="6B55F59E" w:rsidR="006A0D80" w:rsidRPr="00C968F4" w:rsidRDefault="00814C6A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a</w:t>
            </w:r>
            <w:r w:rsidR="006A0D80" w:rsidRPr="00C968F4">
              <w:rPr>
                <w:rFonts w:cs="Times New Roman"/>
                <w:color w:val="000000" w:themeColor="text1"/>
                <w:sz w:val="24"/>
                <w:szCs w:val="24"/>
              </w:rPr>
              <w:t>usgefüllter Auswertung</w:t>
            </w:r>
            <w:r w:rsidR="006A0D80" w:rsidRPr="00C968F4">
              <w:rPr>
                <w:rFonts w:cs="Times New Roman"/>
                <w:color w:val="000000" w:themeColor="text1"/>
                <w:sz w:val="24"/>
                <w:szCs w:val="24"/>
              </w:rPr>
              <w:t>s</w:t>
            </w:r>
            <w:r w:rsidR="006A0D80" w:rsidRPr="00C968F4">
              <w:rPr>
                <w:rFonts w:cs="Times New Roman"/>
                <w:color w:val="000000" w:themeColor="text1"/>
                <w:sz w:val="24"/>
                <w:szCs w:val="24"/>
              </w:rPr>
              <w:t>bogen</w:t>
            </w:r>
          </w:p>
          <w:p w14:paraId="5E31C30C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Arbeitsplan</w:t>
            </w:r>
          </w:p>
          <w:p w14:paraId="36147D20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Plenumsarbeit</w:t>
            </w:r>
          </w:p>
        </w:tc>
      </w:tr>
      <w:tr w:rsidR="0032165C" w:rsidRPr="00C968F4" w14:paraId="3D890E77" w14:textId="77777777" w:rsidTr="00900776">
        <w:trPr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1706" w14:textId="77777777" w:rsidR="006A0D80" w:rsidRPr="00C968F4" w:rsidRDefault="006A0D80">
            <w:pPr>
              <w:pStyle w:val="WBVTTabellentext"/>
              <w:spacing w:before="60" w:after="60"/>
              <w:rPr>
                <w:rStyle w:val="WBVZfett"/>
                <w:rFonts w:cs="Times New Roman"/>
                <w:sz w:val="24"/>
                <w:szCs w:val="24"/>
              </w:rPr>
            </w:pPr>
            <w:r w:rsidRPr="00C968F4">
              <w:rPr>
                <w:rStyle w:val="WBVZfett"/>
                <w:rFonts w:cs="Times New Roman"/>
                <w:sz w:val="24"/>
                <w:szCs w:val="24"/>
              </w:rPr>
              <w:lastRenderedPageBreak/>
              <w:t>Vertiefen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3564" w14:textId="77777777" w:rsidR="006A0D80" w:rsidRPr="00C968F4" w:rsidRDefault="006A0D80" w:rsidP="00814C6A">
            <w:pPr>
              <w:pStyle w:val="WBVGListePfeilGrn"/>
              <w:numPr>
                <w:ilvl w:val="0"/>
                <w:numId w:val="25"/>
              </w:numPr>
              <w:spacing w:before="60" w:after="120"/>
              <w:ind w:left="714" w:hanging="357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Online-Produktpräsentation durch Cross-Selling-Angebote erweitern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32F8" w14:textId="77777777" w:rsidR="006A0D80" w:rsidRPr="00C968F4" w:rsidRDefault="006A0D80" w:rsidP="00937398">
            <w:pPr>
              <w:pStyle w:val="WBVGListePfeilGrn"/>
              <w:numPr>
                <w:ilvl w:val="0"/>
                <w:numId w:val="25"/>
              </w:numPr>
              <w:spacing w:before="60" w:after="6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968F4">
              <w:rPr>
                <w:rFonts w:cs="Times New Roman"/>
                <w:color w:val="000000" w:themeColor="text1"/>
                <w:sz w:val="24"/>
                <w:szCs w:val="24"/>
              </w:rPr>
              <w:t>Plenumsarbeit</w:t>
            </w:r>
          </w:p>
        </w:tc>
      </w:tr>
    </w:tbl>
    <w:p w14:paraId="4DFCB1D0" w14:textId="77777777" w:rsidR="00590DFF" w:rsidRPr="00C968F4" w:rsidRDefault="00590DFF" w:rsidP="00590DFF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Theme="minorHAnsi" w:hAnsiTheme="minorHAnsi"/>
          <w:b/>
          <w:sz w:val="22"/>
          <w:szCs w:val="22"/>
        </w:rPr>
      </w:pPr>
    </w:p>
    <w:p w14:paraId="723E5672" w14:textId="77777777" w:rsidR="00051D1E" w:rsidRPr="00C968F4" w:rsidRDefault="00051D1E" w:rsidP="0090077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6D17A88" w14:textId="77777777" w:rsidR="003D5AF7" w:rsidRPr="00C968F4" w:rsidRDefault="003D5AF7" w:rsidP="0090077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3F133D6D" w14:textId="77777777" w:rsidR="003D5AF7" w:rsidRPr="00C968F4" w:rsidRDefault="003D5AF7" w:rsidP="003D5AF7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 w:rsidRPr="00C968F4">
        <w:rPr>
          <w:rFonts w:asciiTheme="minorHAnsi" w:hAnsiTheme="minorHAnsi" w:cstheme="minorHAnsi"/>
          <w:b/>
          <w:szCs w:val="24"/>
        </w:rPr>
        <w:t>Autorenteam:</w:t>
      </w:r>
      <w:r w:rsidRPr="00C968F4">
        <w:rPr>
          <w:rFonts w:asciiTheme="minorHAnsi" w:hAnsiTheme="minorHAnsi" w:cstheme="minorHAnsi"/>
          <w:szCs w:val="24"/>
        </w:rPr>
        <w:tab/>
        <w:t>M. Winkler, BK der Stadt Hagen, Kaufmannsschule I,</w:t>
      </w:r>
    </w:p>
    <w:p w14:paraId="602856DD" w14:textId="77777777" w:rsidR="003D5AF7" w:rsidRPr="00C968F4" w:rsidRDefault="003D5AF7" w:rsidP="003D5AF7">
      <w:pPr>
        <w:pStyle w:val="Fuzeile"/>
        <w:tabs>
          <w:tab w:val="left" w:pos="1560"/>
        </w:tabs>
        <w:rPr>
          <w:rFonts w:asciiTheme="minorHAnsi" w:hAnsiTheme="minorHAnsi" w:cstheme="minorHAnsi"/>
          <w:szCs w:val="24"/>
        </w:rPr>
      </w:pPr>
      <w:r w:rsidRPr="00C968F4">
        <w:rPr>
          <w:rFonts w:asciiTheme="minorHAnsi" w:hAnsiTheme="minorHAnsi" w:cstheme="minorHAnsi"/>
          <w:szCs w:val="24"/>
        </w:rPr>
        <w:tab/>
        <w:t>B. Kretschmer, Reinhard-Mohn-BK Gütersloh</w:t>
      </w:r>
    </w:p>
    <w:p w14:paraId="3D569EB4" w14:textId="77777777" w:rsidR="003D5AF7" w:rsidRPr="00C968F4" w:rsidRDefault="003D5AF7" w:rsidP="00900776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732FCCA4" w14:textId="77777777" w:rsidR="00C968F4" w:rsidRPr="00C968F4" w:rsidRDefault="00C968F4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sectPr w:rsidR="00C968F4" w:rsidRPr="00C968F4" w:rsidSect="00FF09BA">
      <w:headerReference w:type="default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3272C" w14:textId="77777777" w:rsidR="00DE083E" w:rsidRDefault="00DE083E" w:rsidP="0058426E">
      <w:r>
        <w:separator/>
      </w:r>
    </w:p>
  </w:endnote>
  <w:endnote w:type="continuationSeparator" w:id="0">
    <w:p w14:paraId="131F2F28" w14:textId="77777777" w:rsidR="00DE083E" w:rsidRDefault="00DE083E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891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6D8DF45" w14:textId="4F3C15DE" w:rsidR="004001AD" w:rsidRPr="004001AD" w:rsidRDefault="004001AD" w:rsidP="004001AD">
        <w:pPr>
          <w:pStyle w:val="Fuzeile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</w:rPr>
          <w:t xml:space="preserve">Stand: </w:t>
        </w:r>
        <w:r>
          <w:rPr>
            <w:rFonts w:asciiTheme="minorHAnsi" w:hAnsiTheme="minorHAnsi"/>
          </w:rPr>
          <w:t>0</w:t>
        </w:r>
        <w:r>
          <w:rPr>
            <w:rFonts w:asciiTheme="minorHAnsi" w:hAnsiTheme="minorHAnsi"/>
          </w:rPr>
          <w:t>9</w:t>
        </w:r>
        <w:r>
          <w:rPr>
            <w:rFonts w:asciiTheme="minorHAnsi" w:hAnsiTheme="minorHAnsi"/>
          </w:rPr>
          <w:t>.0</w:t>
        </w:r>
        <w:r>
          <w:rPr>
            <w:rFonts w:asciiTheme="minorHAnsi" w:hAnsiTheme="minorHAnsi"/>
          </w:rPr>
          <w:t>9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647595">
          <w:rPr>
            <w:rFonts w:asciiTheme="minorHAnsi" w:hAnsiTheme="minorHAnsi"/>
          </w:rPr>
          <w:fldChar w:fldCharType="begin"/>
        </w:r>
        <w:r w:rsidRPr="00647595">
          <w:rPr>
            <w:rFonts w:asciiTheme="minorHAnsi" w:hAnsiTheme="minorHAnsi"/>
          </w:rPr>
          <w:instrText>PAGE   \* MERGEFORMAT</w:instrText>
        </w:r>
        <w:r w:rsidRPr="00647595">
          <w:rPr>
            <w:rFonts w:asciiTheme="minorHAnsi" w:hAnsiTheme="minorHAnsi"/>
          </w:rPr>
          <w:fldChar w:fldCharType="separate"/>
        </w:r>
        <w:r w:rsidR="00C968F4">
          <w:rPr>
            <w:rFonts w:asciiTheme="minorHAnsi" w:hAnsiTheme="minorHAnsi"/>
            <w:noProof/>
          </w:rPr>
          <w:t>2</w:t>
        </w:r>
        <w:r w:rsidRPr="0064759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8A4E5" w14:textId="77777777" w:rsidR="00DE083E" w:rsidRDefault="00DE083E" w:rsidP="0058426E">
      <w:r>
        <w:separator/>
      </w:r>
    </w:p>
  </w:footnote>
  <w:footnote w:type="continuationSeparator" w:id="0">
    <w:p w14:paraId="7A018F14" w14:textId="77777777" w:rsidR="00DE083E" w:rsidRDefault="00DE083E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DAA18" w14:textId="77777777" w:rsidR="004001AD" w:rsidRDefault="004001AD" w:rsidP="004001AD">
    <w:pPr>
      <w:pStyle w:val="Kopfzeile"/>
      <w:jc w:val="both"/>
      <w:rPr>
        <w:rFonts w:asciiTheme="minorHAnsi" w:hAnsiTheme="minorHAnsi"/>
      </w:rPr>
    </w:pPr>
    <w:r>
      <w:rPr>
        <w:rFonts w:asciiTheme="minorHAnsi" w:hAnsiTheme="minorHAnsi"/>
      </w:rPr>
      <w:t xml:space="preserve">Lernfeld 2: Didaktisch-methodische Hinweise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Landesweite Arbeitsgruppe</w:t>
    </w:r>
  </w:p>
  <w:p w14:paraId="4DA30B1F" w14:textId="4170BA44" w:rsidR="004001AD" w:rsidRDefault="004001AD" w:rsidP="004001AD">
    <w:pPr>
      <w:pStyle w:val="Kopfzeile"/>
      <w:tabs>
        <w:tab w:val="left" w:pos="1134"/>
      </w:tabs>
      <w:jc w:val="both"/>
      <w:rPr>
        <w:rFonts w:asciiTheme="minorHAnsi" w:hAnsiTheme="minorHAnsi"/>
      </w:rPr>
    </w:pPr>
    <w:r>
      <w:rPr>
        <w:rFonts w:asciiTheme="minorHAnsi" w:hAnsiTheme="minorHAnsi"/>
      </w:rPr>
      <w:tab/>
      <w:t>zur Lernsituation 2.3a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  <w:t>Kauffrau/Kaufmann im E-Commerce</w:t>
    </w:r>
  </w:p>
  <w:p w14:paraId="152F0298" w14:textId="77777777" w:rsidR="00900776" w:rsidRDefault="00900776" w:rsidP="009007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45A74"/>
    <w:multiLevelType w:val="hybridMultilevel"/>
    <w:tmpl w:val="D6AC222A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A96D3A"/>
    <w:multiLevelType w:val="hybridMultilevel"/>
    <w:tmpl w:val="83B8ABA2"/>
    <w:lvl w:ilvl="0" w:tplc="D71AC3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E69DD"/>
    <w:multiLevelType w:val="hybridMultilevel"/>
    <w:tmpl w:val="45D6A25E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43319"/>
    <w:multiLevelType w:val="hybridMultilevel"/>
    <w:tmpl w:val="E68C1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E649BD"/>
    <w:multiLevelType w:val="hybridMultilevel"/>
    <w:tmpl w:val="3B98ADEE"/>
    <w:lvl w:ilvl="0" w:tplc="C0DC2C5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A25B8"/>
    <w:multiLevelType w:val="hybridMultilevel"/>
    <w:tmpl w:val="A4F6DC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>
    <w:nsid w:val="5DC47A76"/>
    <w:multiLevelType w:val="hybridMultilevel"/>
    <w:tmpl w:val="C3B6A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915B4"/>
    <w:multiLevelType w:val="hybridMultilevel"/>
    <w:tmpl w:val="98FC6FFC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86099"/>
    <w:multiLevelType w:val="hybridMultilevel"/>
    <w:tmpl w:val="14CE9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8"/>
  </w:num>
  <w:num w:numId="5">
    <w:abstractNumId w:val="3"/>
  </w:num>
  <w:num w:numId="6">
    <w:abstractNumId w:val="0"/>
  </w:num>
  <w:num w:numId="7">
    <w:abstractNumId w:val="16"/>
  </w:num>
  <w:num w:numId="8">
    <w:abstractNumId w:val="8"/>
  </w:num>
  <w:num w:numId="9">
    <w:abstractNumId w:val="14"/>
  </w:num>
  <w:num w:numId="10">
    <w:abstractNumId w:val="1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  <w:num w:numId="17">
    <w:abstractNumId w:val="21"/>
  </w:num>
  <w:num w:numId="18">
    <w:abstractNumId w:val="20"/>
  </w:num>
  <w:num w:numId="19">
    <w:abstractNumId w:val="19"/>
  </w:num>
  <w:num w:numId="20">
    <w:abstractNumId w:val="15"/>
  </w:num>
  <w:num w:numId="21">
    <w:abstractNumId w:val="22"/>
  </w:num>
  <w:num w:numId="22">
    <w:abstractNumId w:val="12"/>
  </w:num>
  <w:num w:numId="23">
    <w:abstractNumId w:val="13"/>
  </w:num>
  <w:num w:numId="24">
    <w:abstractNumId w:val="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4B"/>
    <w:rsid w:val="00011193"/>
    <w:rsid w:val="0003357B"/>
    <w:rsid w:val="0003522B"/>
    <w:rsid w:val="00051D1E"/>
    <w:rsid w:val="00053835"/>
    <w:rsid w:val="00065587"/>
    <w:rsid w:val="0007291D"/>
    <w:rsid w:val="00074720"/>
    <w:rsid w:val="000A6A40"/>
    <w:rsid w:val="000D7AC5"/>
    <w:rsid w:val="000D7D73"/>
    <w:rsid w:val="000F30A6"/>
    <w:rsid w:val="00110AF3"/>
    <w:rsid w:val="00175190"/>
    <w:rsid w:val="00185B6B"/>
    <w:rsid w:val="00186B00"/>
    <w:rsid w:val="00190FDA"/>
    <w:rsid w:val="00196517"/>
    <w:rsid w:val="00196E46"/>
    <w:rsid w:val="001A19B2"/>
    <w:rsid w:val="001A647C"/>
    <w:rsid w:val="001A74A4"/>
    <w:rsid w:val="001C651E"/>
    <w:rsid w:val="001D753B"/>
    <w:rsid w:val="001E6209"/>
    <w:rsid w:val="001F1D63"/>
    <w:rsid w:val="001F5DFB"/>
    <w:rsid w:val="00213644"/>
    <w:rsid w:val="00223269"/>
    <w:rsid w:val="0026593C"/>
    <w:rsid w:val="002744C4"/>
    <w:rsid w:val="0028205F"/>
    <w:rsid w:val="00293860"/>
    <w:rsid w:val="002C05DE"/>
    <w:rsid w:val="002C5269"/>
    <w:rsid w:val="002D361A"/>
    <w:rsid w:val="002D3E45"/>
    <w:rsid w:val="002E11DD"/>
    <w:rsid w:val="0032165C"/>
    <w:rsid w:val="00332552"/>
    <w:rsid w:val="00350517"/>
    <w:rsid w:val="003600E3"/>
    <w:rsid w:val="00365771"/>
    <w:rsid w:val="00386C4E"/>
    <w:rsid w:val="003D5AF7"/>
    <w:rsid w:val="003F7BA1"/>
    <w:rsid w:val="004001AD"/>
    <w:rsid w:val="0040027C"/>
    <w:rsid w:val="00425A71"/>
    <w:rsid w:val="00465C6C"/>
    <w:rsid w:val="00495080"/>
    <w:rsid w:val="00497C63"/>
    <w:rsid w:val="004B7C45"/>
    <w:rsid w:val="004C243A"/>
    <w:rsid w:val="004D087B"/>
    <w:rsid w:val="004F4B89"/>
    <w:rsid w:val="00513232"/>
    <w:rsid w:val="005347C5"/>
    <w:rsid w:val="00553DF3"/>
    <w:rsid w:val="00557E22"/>
    <w:rsid w:val="00560E5D"/>
    <w:rsid w:val="005621B5"/>
    <w:rsid w:val="005717D2"/>
    <w:rsid w:val="005822B9"/>
    <w:rsid w:val="0058426E"/>
    <w:rsid w:val="00590DFF"/>
    <w:rsid w:val="005954BD"/>
    <w:rsid w:val="005A2CF9"/>
    <w:rsid w:val="005A303E"/>
    <w:rsid w:val="005A7EDB"/>
    <w:rsid w:val="005B7DF7"/>
    <w:rsid w:val="005D605C"/>
    <w:rsid w:val="00601437"/>
    <w:rsid w:val="0060243E"/>
    <w:rsid w:val="00610CF1"/>
    <w:rsid w:val="006342AF"/>
    <w:rsid w:val="0063513D"/>
    <w:rsid w:val="006402F7"/>
    <w:rsid w:val="00681B57"/>
    <w:rsid w:val="006A0D80"/>
    <w:rsid w:val="006B2783"/>
    <w:rsid w:val="006B3211"/>
    <w:rsid w:val="006E4E9A"/>
    <w:rsid w:val="007771D7"/>
    <w:rsid w:val="00777286"/>
    <w:rsid w:val="0079381D"/>
    <w:rsid w:val="00795107"/>
    <w:rsid w:val="007A2251"/>
    <w:rsid w:val="007A3690"/>
    <w:rsid w:val="007B08A5"/>
    <w:rsid w:val="007D43A3"/>
    <w:rsid w:val="007E2B62"/>
    <w:rsid w:val="007E33ED"/>
    <w:rsid w:val="007E4E94"/>
    <w:rsid w:val="007F751A"/>
    <w:rsid w:val="0080187C"/>
    <w:rsid w:val="00814C6A"/>
    <w:rsid w:val="00837EC8"/>
    <w:rsid w:val="00844D17"/>
    <w:rsid w:val="008758EF"/>
    <w:rsid w:val="00877720"/>
    <w:rsid w:val="00877CFC"/>
    <w:rsid w:val="0088108F"/>
    <w:rsid w:val="00891C65"/>
    <w:rsid w:val="008949D5"/>
    <w:rsid w:val="008A5A28"/>
    <w:rsid w:val="008A661C"/>
    <w:rsid w:val="008A764C"/>
    <w:rsid w:val="008B4877"/>
    <w:rsid w:val="008D4E19"/>
    <w:rsid w:val="008F0F06"/>
    <w:rsid w:val="00900776"/>
    <w:rsid w:val="0091598F"/>
    <w:rsid w:val="0091600A"/>
    <w:rsid w:val="0091798D"/>
    <w:rsid w:val="00937398"/>
    <w:rsid w:val="00937D04"/>
    <w:rsid w:val="00950BCF"/>
    <w:rsid w:val="00953008"/>
    <w:rsid w:val="00956FEF"/>
    <w:rsid w:val="00970E6A"/>
    <w:rsid w:val="009740BB"/>
    <w:rsid w:val="0098712D"/>
    <w:rsid w:val="00994835"/>
    <w:rsid w:val="009B1C03"/>
    <w:rsid w:val="009B69A2"/>
    <w:rsid w:val="009D1E73"/>
    <w:rsid w:val="009E2691"/>
    <w:rsid w:val="009E534B"/>
    <w:rsid w:val="009F4616"/>
    <w:rsid w:val="00A010B3"/>
    <w:rsid w:val="00A1600B"/>
    <w:rsid w:val="00A731ED"/>
    <w:rsid w:val="00A90D03"/>
    <w:rsid w:val="00AA1EF1"/>
    <w:rsid w:val="00AA32BA"/>
    <w:rsid w:val="00AC41FD"/>
    <w:rsid w:val="00AC7E94"/>
    <w:rsid w:val="00AD4F3C"/>
    <w:rsid w:val="00B13349"/>
    <w:rsid w:val="00B37B29"/>
    <w:rsid w:val="00B46BCF"/>
    <w:rsid w:val="00B65D99"/>
    <w:rsid w:val="00BA2307"/>
    <w:rsid w:val="00BA27C7"/>
    <w:rsid w:val="00BA60BF"/>
    <w:rsid w:val="00BB090E"/>
    <w:rsid w:val="00BD34F5"/>
    <w:rsid w:val="00BD70B4"/>
    <w:rsid w:val="00BF0BF5"/>
    <w:rsid w:val="00C24A44"/>
    <w:rsid w:val="00C304C6"/>
    <w:rsid w:val="00C53AA9"/>
    <w:rsid w:val="00C76B66"/>
    <w:rsid w:val="00C83B62"/>
    <w:rsid w:val="00C968F4"/>
    <w:rsid w:val="00C97EBE"/>
    <w:rsid w:val="00CC1956"/>
    <w:rsid w:val="00CC2731"/>
    <w:rsid w:val="00CF4314"/>
    <w:rsid w:val="00D20790"/>
    <w:rsid w:val="00D3154E"/>
    <w:rsid w:val="00D354FB"/>
    <w:rsid w:val="00D37EEF"/>
    <w:rsid w:val="00D444FE"/>
    <w:rsid w:val="00D50E87"/>
    <w:rsid w:val="00D520C7"/>
    <w:rsid w:val="00D52B30"/>
    <w:rsid w:val="00D9096E"/>
    <w:rsid w:val="00DB5CC7"/>
    <w:rsid w:val="00DE083E"/>
    <w:rsid w:val="00E0575D"/>
    <w:rsid w:val="00E21D7E"/>
    <w:rsid w:val="00E8404C"/>
    <w:rsid w:val="00E97F52"/>
    <w:rsid w:val="00EA145F"/>
    <w:rsid w:val="00EA1A7D"/>
    <w:rsid w:val="00EA4A12"/>
    <w:rsid w:val="00EA52EA"/>
    <w:rsid w:val="00EA65D5"/>
    <w:rsid w:val="00EB4245"/>
    <w:rsid w:val="00EB4F73"/>
    <w:rsid w:val="00EC5362"/>
    <w:rsid w:val="00EE2A12"/>
    <w:rsid w:val="00EF2459"/>
    <w:rsid w:val="00EF413C"/>
    <w:rsid w:val="00F01469"/>
    <w:rsid w:val="00F11BDA"/>
    <w:rsid w:val="00F17BE8"/>
    <w:rsid w:val="00F42B6E"/>
    <w:rsid w:val="00F61AA1"/>
    <w:rsid w:val="00F742ED"/>
    <w:rsid w:val="00F80C38"/>
    <w:rsid w:val="00F8304C"/>
    <w:rsid w:val="00F91B93"/>
    <w:rsid w:val="00FA655B"/>
    <w:rsid w:val="00FB790F"/>
    <w:rsid w:val="00FC3EC1"/>
    <w:rsid w:val="00FC75E5"/>
    <w:rsid w:val="00FD0DA5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306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customStyle="1" w:styleId="WBVZkursiv">
    <w:name w:val="WBV_Z_kursiv"/>
    <w:uiPriority w:val="99"/>
    <w:rsid w:val="00D444FE"/>
    <w:rPr>
      <w:i/>
      <w:iCs/>
    </w:rPr>
  </w:style>
  <w:style w:type="paragraph" w:styleId="berarbeitung">
    <w:name w:val="Revision"/>
    <w:hidden/>
    <w:uiPriority w:val="99"/>
    <w:semiHidden/>
    <w:rsid w:val="001C651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7B34-92F9-4810-AB54-9254959E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A68C2F98.dotm</Template>
  <TotalTime>0</TotalTime>
  <Pages>4</Pages>
  <Words>705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5</cp:revision>
  <cp:lastPrinted>2018-09-01T20:04:00Z</cp:lastPrinted>
  <dcterms:created xsi:type="dcterms:W3CDTF">2018-09-16T11:20:00Z</dcterms:created>
  <dcterms:modified xsi:type="dcterms:W3CDTF">2018-09-18T05:35:00Z</dcterms:modified>
</cp:coreProperties>
</file>