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3A323D" w:rsidTr="009D1AB8">
        <w:tc>
          <w:tcPr>
            <w:tcW w:w="3969" w:type="dxa"/>
            <w:vMerge w:val="restart"/>
          </w:tcPr>
          <w:p w:rsidR="007E667A" w:rsidRDefault="007E667A" w:rsidP="007E667A">
            <w:r>
              <w:t>Die Studierenden ermitteln und dokumen</w:t>
            </w:r>
            <w:r>
              <w:softHyphen/>
              <w:t>tieren unter Beachtung relevanter Determinanten den betrieblichen Kapitalbedarf. Zur Sicherung der Liquidität setzen sie die Instrumente der Liquiditäts- und Finanzplanung ein.</w:t>
            </w:r>
          </w:p>
          <w:p w:rsidR="007E667A" w:rsidRDefault="007E667A" w:rsidP="007E667A">
            <w:r>
              <w:t>Die Kapitalbedarfsplanung (langfristige Finanzplanung) wenden sie zur Unter</w:t>
            </w:r>
            <w:r>
              <w:softHyphen/>
              <w:t>stützung strategischer Entscheidungs</w:t>
            </w:r>
            <w:r>
              <w:softHyphen/>
              <w:t>prozesse an. Dazu ermitteln und inter</w:t>
            </w:r>
            <w:r>
              <w:softHyphen/>
              <w:t>pretieren sie die geld- und konjunktur</w:t>
            </w:r>
            <w:r>
              <w:softHyphen/>
              <w:t>politischen Rahmen</w:t>
            </w:r>
            <w:r>
              <w:softHyphen/>
              <w:t>bedingungen und wichtige Finanzierungs</w:t>
            </w:r>
            <w:r>
              <w:softHyphen/>
              <w:t>kennzahlen.</w:t>
            </w:r>
          </w:p>
          <w:p w:rsidR="007E667A" w:rsidRDefault="007E667A" w:rsidP="007E667A">
            <w:r>
              <w:t>Investitionsprojekte als wichtige Komponenten des Kapitalbedarfs strukturieren sie unter Verwendung kontrollierter und bewerteter Daten. Mit der Anwendung vor allem der dynamischen Methoden der Investitions</w:t>
            </w:r>
            <w:r>
              <w:softHyphen/>
              <w:t>rechnung erarbeiten sie Wirkungs</w:t>
            </w:r>
            <w:r>
              <w:softHyphen/>
              <w:t>prognosen zur Vorbereitung von Investitionsentscheidungen.</w:t>
            </w:r>
          </w:p>
          <w:p w:rsidR="007E667A" w:rsidRDefault="007E667A" w:rsidP="007E667A">
            <w:r>
              <w:t>Mit einer Risikoanalyse, die die Wagnisse einer Investition transparent macht und auch volkswirtschaftliche Aspekte ein</w:t>
            </w:r>
            <w:r>
              <w:softHyphen/>
            </w:r>
            <w:r>
              <w:lastRenderedPageBreak/>
              <w:t>schließt, unterstützen sie Entscheidungs</w:t>
            </w:r>
            <w:r>
              <w:softHyphen/>
              <w:t>prozesse. Sie erörtern die Aspekte, gehen auf Argumente ein und vertreten angemessen den eigenen Standpunkt.</w:t>
            </w:r>
          </w:p>
          <w:p w:rsidR="007E667A" w:rsidRDefault="007E667A" w:rsidP="007E667A">
            <w:r>
              <w:t>Sie erkennen den Umsatzprozess und Vermögensumschichtungen als wichtige Finanzierungsquellen und ermitteln das Innenfinanzierungsvolumen. Sie stellen das Instrumentarium der Außen</w:t>
            </w:r>
            <w:r>
              <w:softHyphen/>
              <w:t>finanzierung einschließlich der Kredit</w:t>
            </w:r>
            <w:r>
              <w:softHyphen/>
              <w:t>substitute und der Kreditsicherungs</w:t>
            </w:r>
            <w:r>
              <w:softHyphen/>
              <w:t xml:space="preserve">möglichkeiten zielorientiert dar. </w:t>
            </w:r>
          </w:p>
          <w:p w:rsidR="003A323D" w:rsidRDefault="007E667A" w:rsidP="007E667A">
            <w:r>
              <w:t>Mit Hilfe von Finanzierungsmodellen bereiten sie optimale Finanzierungs</w:t>
            </w:r>
            <w:r>
              <w:softHyphen/>
              <w:t>entscheidungen vor. Zur Lösung und Darstellung finanzwirtschaftlicher Probleme nutzen sie relevante Software.</w:t>
            </w:r>
          </w:p>
        </w:tc>
        <w:tc>
          <w:tcPr>
            <w:tcW w:w="3969" w:type="dxa"/>
          </w:tcPr>
          <w:p w:rsidR="00970D3E" w:rsidRDefault="00970D3E" w:rsidP="003D4424">
            <w:r w:rsidRPr="003D4424">
              <w:rPr>
                <w:rStyle w:val="Fett"/>
              </w:rPr>
              <w:lastRenderedPageBreak/>
              <w:t>1.2.E</w:t>
            </w:r>
            <w:r>
              <w:tab/>
              <w:t>Geschäftsmodelle in der digitalen Wirtschaft initiieren, entwickeln und organisieren</w:t>
            </w:r>
          </w:p>
          <w:p w:rsidR="00970D3E" w:rsidRDefault="00970D3E" w:rsidP="00FF2A44">
            <w:r w:rsidRPr="00FF2A44">
              <w:rPr>
                <w:rStyle w:val="Fett"/>
              </w:rPr>
              <w:t>4.1.E</w:t>
            </w:r>
            <w:r>
              <w:tab/>
              <w:t>Auswirkungen, Chancen und Risiken der digitalen Transformation für Arbeit und Gesellschaft reflektieren und Innovationspotenziale ableiten</w:t>
            </w:r>
          </w:p>
          <w:p w:rsidR="00970D3E" w:rsidRDefault="00970D3E" w:rsidP="00FF2A44"/>
          <w:p w:rsidR="00970D3E" w:rsidRDefault="00970D3E" w:rsidP="00FF2A44"/>
          <w:p w:rsidR="003A323D" w:rsidRDefault="003A323D" w:rsidP="00004AFC"/>
        </w:tc>
        <w:tc>
          <w:tcPr>
            <w:tcW w:w="0" w:type="auto"/>
          </w:tcPr>
          <w:p w:rsidR="00970D3E" w:rsidRPr="00970D3E" w:rsidRDefault="00970D3E" w:rsidP="00970D3E">
            <w:pPr>
              <w:rPr>
                <w:rStyle w:val="Fett"/>
              </w:rPr>
            </w:pPr>
            <w:r w:rsidRPr="00970D3E">
              <w:rPr>
                <w:rStyle w:val="Fett"/>
              </w:rPr>
              <w:t>ES 9.1: Finanzierung durch Crowdfunding</w:t>
            </w:r>
          </w:p>
          <w:p w:rsidR="003A323D" w:rsidRPr="008962E7" w:rsidRDefault="00970D3E" w:rsidP="00970D3E">
            <w:r>
              <w:t xml:space="preserve">Ein etablierter </w:t>
            </w:r>
            <w:proofErr w:type="spellStart"/>
            <w:r>
              <w:t>Skateboardhersteller</w:t>
            </w:r>
            <w:proofErr w:type="spellEnd"/>
            <w:r>
              <w:t xml:space="preserve"> hat ein Skateboard mit </w:t>
            </w:r>
            <w:proofErr w:type="spellStart"/>
            <w:r>
              <w:t>Fluxkompensator</w:t>
            </w:r>
            <w:proofErr w:type="spellEnd"/>
            <w:r>
              <w:t>-Antrieb entwickelt und möchte dafür die Finanzierung über ein klassisches Crowdfunding über seine Community durchführen. Eine Mitarbeiterin bzw. ein Mitarbeiter wird damit beauftragt unter D</w:t>
            </w:r>
            <w:r>
              <w:t xml:space="preserve">arstellung der </w:t>
            </w:r>
            <w:proofErr w:type="spellStart"/>
            <w:r>
              <w:t>crowdfunding</w:t>
            </w:r>
            <w:bookmarkStart w:id="0" w:name="_GoBack"/>
            <w:bookmarkEnd w:id="0"/>
            <w:r>
              <w:t>typi</w:t>
            </w:r>
            <w:r>
              <w:t>schen</w:t>
            </w:r>
            <w:proofErr w:type="spellEnd"/>
            <w:r>
              <w:t xml:space="preserve"> Finanzierungsrisiken eine Roadmap für das Projekt resp. die Finanzierung des Projekts zu erstellen.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970D3E" w:rsidRDefault="00970D3E" w:rsidP="003D4424">
            <w:r w:rsidRPr="003D4424">
              <w:rPr>
                <w:rStyle w:val="Fett"/>
              </w:rPr>
              <w:t>2.1.E</w:t>
            </w:r>
            <w:r>
              <w:tab/>
              <w:t>Vernetzte Wertschöpfungs</w:t>
            </w:r>
            <w:r>
              <w:softHyphen/>
              <w:t>prozesse ganzheitlich analysieren, modellieren und Potenziale zur Digitalisierung beurteilen</w:t>
            </w:r>
          </w:p>
          <w:p w:rsidR="003A323D" w:rsidRDefault="003A323D" w:rsidP="00B354F6"/>
        </w:tc>
        <w:tc>
          <w:tcPr>
            <w:tcW w:w="0" w:type="auto"/>
          </w:tcPr>
          <w:p w:rsidR="00970D3E" w:rsidRPr="00970D3E" w:rsidRDefault="00970D3E" w:rsidP="00970D3E">
            <w:pPr>
              <w:rPr>
                <w:rStyle w:val="Fett"/>
              </w:rPr>
            </w:pPr>
            <w:r w:rsidRPr="00970D3E">
              <w:rPr>
                <w:rStyle w:val="Fett"/>
              </w:rPr>
              <w:t>ES 9.2: Investitionsentscheidung in eine AR-Plattform</w:t>
            </w:r>
          </w:p>
          <w:p w:rsidR="003A323D" w:rsidRPr="008962E7" w:rsidRDefault="00970D3E" w:rsidP="00970D3E">
            <w:r>
              <w:t xml:space="preserve">Eine freie </w:t>
            </w:r>
            <w:proofErr w:type="spellStart"/>
            <w:r>
              <w:t>KFZ-Werkstatt</w:t>
            </w:r>
            <w:proofErr w:type="spellEnd"/>
            <w:r>
              <w:t xml:space="preserve"> möchte zur Optimierung der Bearbeitung von Reparaturen in eine </w:t>
            </w:r>
            <w:proofErr w:type="spellStart"/>
            <w:r>
              <w:t>Augmented</w:t>
            </w:r>
            <w:proofErr w:type="spellEnd"/>
            <w:r>
              <w:t>-Reality-Plattform für die zwanzig größten Automobilhersteller investieren. Durch die Plattform sollen die Arbeitszeit je Reparatur und der markenspezifische Schulungsbedarf reduziert sowie Material eingespart werden. Die kaufmännische Abteilung soll den Kapital</w:t>
            </w:r>
            <w:r>
              <w:softHyphen/>
            </w:r>
            <w:r>
              <w:t>bedarf ermitteln, das Einsparungspotential aufstellen und die Investitionskosten im Hinblick auf die Renditemöglichkeiten auswerten.</w:t>
            </w:r>
          </w:p>
        </w:tc>
      </w:tr>
    </w:tbl>
    <w:p w:rsidR="008E0632" w:rsidRDefault="008E0632" w:rsidP="00D63FD9"/>
    <w:sectPr w:rsidR="008E0632" w:rsidSect="006F1F54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2A68A4" w:rsidP="00E66FA4">
    <w:pPr>
      <w:pStyle w:val="berschriftDokumentklein"/>
    </w:pPr>
    <w:r>
      <w:t>Fachschule für Wirtschaft</w:t>
    </w:r>
    <w:r w:rsidR="00E66FA4">
      <w:t xml:space="preserve">, </w:t>
    </w:r>
    <w:r w:rsidR="00E714EE">
      <w:t>Fachrichtung</w:t>
    </w:r>
    <w:r w:rsidR="00B354F6">
      <w:t xml:space="preserve"> </w:t>
    </w:r>
    <w:r>
      <w:t xml:space="preserve">Betriebswirtschaft Schwerpunkt </w:t>
    </w:r>
    <w:r w:rsidR="00970D3E">
      <w:t>Absatzwirtschaft</w:t>
    </w:r>
    <w:r w:rsidR="00E66FA4">
      <w:t>:</w:t>
    </w:r>
    <w:r>
      <w:br/>
    </w:r>
    <w:r w:rsidR="00E66FA4">
      <w:t>Exemplarische Einstiegsszenarien zur Integration der KMK-Kompetenzen</w:t>
    </w:r>
  </w:p>
  <w:p w:rsidR="00D63FD9" w:rsidRDefault="007E667A" w:rsidP="007E667A">
    <w:pPr>
      <w:pStyle w:val="berschriftDokument"/>
    </w:pPr>
    <w:r w:rsidRPr="007E667A">
      <w:t>Lernfeld 9: Kapitalströme ermitteln und finanzwirtschaftliche Maßnahmen vorbereiten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3AFF"/>
    <w:multiLevelType w:val="hybridMultilevel"/>
    <w:tmpl w:val="F3F4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004AFC"/>
    <w:rsid w:val="00163CE9"/>
    <w:rsid w:val="00164ABD"/>
    <w:rsid w:val="001A3D3E"/>
    <w:rsid w:val="0022253D"/>
    <w:rsid w:val="00232572"/>
    <w:rsid w:val="00254120"/>
    <w:rsid w:val="002A68A4"/>
    <w:rsid w:val="00393467"/>
    <w:rsid w:val="003A323D"/>
    <w:rsid w:val="00435BE0"/>
    <w:rsid w:val="00463651"/>
    <w:rsid w:val="004945EE"/>
    <w:rsid w:val="005015E2"/>
    <w:rsid w:val="0056291B"/>
    <w:rsid w:val="006362A2"/>
    <w:rsid w:val="006F175E"/>
    <w:rsid w:val="006F1F54"/>
    <w:rsid w:val="00764382"/>
    <w:rsid w:val="007E667A"/>
    <w:rsid w:val="00813DFF"/>
    <w:rsid w:val="00814E86"/>
    <w:rsid w:val="00825E92"/>
    <w:rsid w:val="008962E7"/>
    <w:rsid w:val="008E0632"/>
    <w:rsid w:val="00970D3E"/>
    <w:rsid w:val="009D1AB8"/>
    <w:rsid w:val="00AC5AFE"/>
    <w:rsid w:val="00B354F6"/>
    <w:rsid w:val="00BA7BB2"/>
    <w:rsid w:val="00BB1D2D"/>
    <w:rsid w:val="00BC4225"/>
    <w:rsid w:val="00C873C7"/>
    <w:rsid w:val="00CF6DDC"/>
    <w:rsid w:val="00D63FD9"/>
    <w:rsid w:val="00D725FA"/>
    <w:rsid w:val="00E66FA4"/>
    <w:rsid w:val="00E714EE"/>
    <w:rsid w:val="00FE44F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C6E2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F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B158-FBA5-4804-8F65-20F3A4C5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2570</Characters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2023-07-05T07:41:00Z</dcterms:modified>
</cp:coreProperties>
</file>