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0F4EF7">
        <w:trPr>
          <w:trHeight w:val="1217"/>
        </w:trPr>
        <w:tc>
          <w:tcPr>
            <w:tcW w:w="14586" w:type="dxa"/>
            <w:gridSpan w:val="2"/>
            <w:vAlign w:val="center"/>
          </w:tcPr>
          <w:p w14:paraId="0E468C6F" w14:textId="12690673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>
              <w:rPr>
                <w:b/>
              </w:rPr>
              <w:t xml:space="preserve">Fachoberschule, Anlage C </w:t>
            </w:r>
            <w:r w:rsidR="006A4380">
              <w:rPr>
                <w:b/>
              </w:rPr>
              <w:t>3</w:t>
            </w:r>
          </w:p>
          <w:p w14:paraId="786B2127" w14:textId="65DC4E98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E50AEB" w:rsidRPr="00E50AEB">
              <w:t xml:space="preserve">Sozial- und </w:t>
            </w:r>
            <w:r w:rsidR="00A10556" w:rsidRPr="00E50AEB">
              <w:rPr>
                <w:bCs/>
              </w:rPr>
              <w:t>Erziehungswissenschaft</w:t>
            </w:r>
            <w:r w:rsidR="00E50AEB" w:rsidRPr="00E50AEB">
              <w:rPr>
                <w:bCs/>
              </w:rPr>
              <w:t>en</w:t>
            </w:r>
          </w:p>
          <w:p w14:paraId="40E3C7CF" w14:textId="045C5A53" w:rsidR="0011249D" w:rsidRPr="00E50AE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A10556" w:rsidRPr="00E50AEB">
              <w:rPr>
                <w:bCs/>
              </w:rPr>
              <w:t>5.1</w:t>
            </w:r>
            <w:r w:rsidR="00E8008E" w:rsidRPr="00E50AEB">
              <w:rPr>
                <w:bCs/>
              </w:rPr>
              <w:t xml:space="preserve"> (30</w:t>
            </w:r>
            <w:r w:rsidR="006A4380">
              <w:rPr>
                <w:bCs/>
              </w:rPr>
              <w:t xml:space="preserve"> </w:t>
            </w:r>
            <w:r w:rsidR="00E8008E" w:rsidRPr="00E50AEB">
              <w:rPr>
                <w:bCs/>
              </w:rPr>
              <w:t>-</w:t>
            </w:r>
            <w:r w:rsidR="006A4380">
              <w:rPr>
                <w:bCs/>
              </w:rPr>
              <w:t xml:space="preserve"> </w:t>
            </w:r>
            <w:r w:rsidR="00E8008E" w:rsidRPr="00E50AEB">
              <w:rPr>
                <w:bCs/>
              </w:rPr>
              <w:t>40 UStd.)</w:t>
            </w:r>
          </w:p>
          <w:p w14:paraId="7D7526BD" w14:textId="62292532" w:rsidR="007B6E1E" w:rsidRPr="0042077B" w:rsidRDefault="007B6E1E" w:rsidP="0098465C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A10556">
              <w:rPr>
                <w:b/>
              </w:rPr>
              <w:t xml:space="preserve"> </w:t>
            </w:r>
            <w:r w:rsidR="00E8008E" w:rsidRPr="00E50AEB">
              <w:t xml:space="preserve">5 </w:t>
            </w:r>
            <w:r w:rsidR="00A10556" w:rsidRPr="00E50AEB">
              <w:t>Gestaltun</w:t>
            </w:r>
            <w:r w:rsidR="00AD2F04" w:rsidRPr="00E50AEB">
              <w:t>g</w:t>
            </w:r>
            <w:r w:rsidR="00AD2F04">
              <w:rPr>
                <w:b/>
              </w:rPr>
              <w:t xml:space="preserve"> </w:t>
            </w:r>
          </w:p>
          <w:p w14:paraId="125C1900" w14:textId="3CD6607F" w:rsidR="007B6E1E" w:rsidRPr="00DC34BB" w:rsidRDefault="007B6E1E" w:rsidP="00C9773E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FC3154" w:rsidRPr="006A4380">
              <w:t xml:space="preserve">5.1.1 </w:t>
            </w:r>
            <w:r w:rsidR="00E50AEB">
              <w:t xml:space="preserve">Entwicklungsverläufe von Kindern </w:t>
            </w:r>
            <w:r w:rsidR="00FC3154" w:rsidRPr="00E50AEB">
              <w:t>und Handlungsoptionen</w:t>
            </w:r>
            <w:r w:rsidR="00A95429" w:rsidRPr="00E50AEB">
              <w:t xml:space="preserve"> </w:t>
            </w:r>
            <w:r w:rsidR="00FC3154" w:rsidRPr="00E50AEB">
              <w:t>(10</w:t>
            </w:r>
            <w:r w:rsidR="00E8008E" w:rsidRPr="00E50AEB">
              <w:t xml:space="preserve"> UStd.)</w:t>
            </w:r>
          </w:p>
        </w:tc>
      </w:tr>
      <w:tr w:rsidR="007B6E1E" w:rsidRPr="00DC34BB" w14:paraId="61385829" w14:textId="77777777" w:rsidTr="000F4EF7">
        <w:trPr>
          <w:trHeight w:val="1774"/>
        </w:trPr>
        <w:tc>
          <w:tcPr>
            <w:tcW w:w="7223" w:type="dxa"/>
          </w:tcPr>
          <w:p w14:paraId="5F74D49D" w14:textId="77777777"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200D768F" w14:textId="77777777" w:rsidR="007B6E1E" w:rsidRPr="00095748" w:rsidRDefault="007B6E1E" w:rsidP="00F810C2">
            <w:pPr>
              <w:pStyle w:val="Tabellentext"/>
            </w:pPr>
          </w:p>
          <w:p w14:paraId="13A5070D" w14:textId="26F53401" w:rsidR="0042077B" w:rsidRPr="000F4EF7" w:rsidRDefault="00AD2F04" w:rsidP="000F4EF7">
            <w:pPr>
              <w:pStyle w:val="Tabellentext"/>
              <w:rPr>
                <w:iCs/>
              </w:rPr>
            </w:pPr>
            <w:r w:rsidRPr="00095748">
              <w:rPr>
                <w:iCs/>
              </w:rPr>
              <w:t xml:space="preserve">Im Rahmen einer Theater-AG werden die unterschiedlichen Entwicklungsverläufe von einzelnen Kindern </w:t>
            </w:r>
            <w:r w:rsidR="00FC3154">
              <w:rPr>
                <w:iCs/>
              </w:rPr>
              <w:t xml:space="preserve">vor allem </w:t>
            </w:r>
            <w:r w:rsidRPr="00095748">
              <w:rPr>
                <w:iCs/>
              </w:rPr>
              <w:t xml:space="preserve">im </w:t>
            </w:r>
            <w:r w:rsidR="002036E4" w:rsidRPr="00095748">
              <w:rPr>
                <w:iCs/>
              </w:rPr>
              <w:t>motorischen</w:t>
            </w:r>
            <w:r w:rsidRPr="00095748">
              <w:rPr>
                <w:iCs/>
              </w:rPr>
              <w:t xml:space="preserve"> Bereich deutlich.</w:t>
            </w:r>
            <w:r w:rsidR="00E8008E">
              <w:rPr>
                <w:iCs/>
              </w:rPr>
              <w:t xml:space="preserve"> </w:t>
            </w:r>
            <w:r w:rsidRPr="00095748">
              <w:rPr>
                <w:iCs/>
              </w:rPr>
              <w:t xml:space="preserve">Ebenso </w:t>
            </w:r>
            <w:r w:rsidR="00FC3154">
              <w:rPr>
                <w:iCs/>
              </w:rPr>
              <w:t xml:space="preserve">verdeutlicht </w:t>
            </w:r>
            <w:r w:rsidR="00300E9F" w:rsidRPr="00095748">
              <w:rPr>
                <w:iCs/>
              </w:rPr>
              <w:t>werden bei den Kindern einzelne Lernprozesse</w:t>
            </w:r>
            <w:r w:rsidR="00A95429">
              <w:rPr>
                <w:iCs/>
              </w:rPr>
              <w:t xml:space="preserve"> im Bereich der Motorik </w:t>
            </w:r>
            <w:r w:rsidR="00300E9F" w:rsidRPr="00095748">
              <w:rPr>
                <w:iCs/>
              </w:rPr>
              <w:t>deutlich.</w:t>
            </w:r>
            <w:r w:rsidR="00A95429">
              <w:rPr>
                <w:iCs/>
              </w:rPr>
              <w:t xml:space="preserve"> Gemeinsam entwickeln Sie mit ihren Kolleginnen und Kollegen mögliche Handlungsoptionen zur U</w:t>
            </w:r>
            <w:r w:rsidR="000F4EF7">
              <w:rPr>
                <w:iCs/>
              </w:rPr>
              <w:t>nterstützen der Lernprozesse von</w:t>
            </w:r>
            <w:r w:rsidR="00A95429">
              <w:rPr>
                <w:iCs/>
              </w:rPr>
              <w:t xml:space="preserve"> Kinder in diesem Entwicklungsbereich.</w:t>
            </w: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34CE1640" w14:textId="3282F0ED" w:rsidR="0042077B" w:rsidRPr="009B3E40" w:rsidRDefault="00CD78C5" w:rsidP="00E50AEB">
            <w:pPr>
              <w:pStyle w:val="Tabellenberschri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Präsentation </w:t>
            </w:r>
            <w:r w:rsidR="00E50AEB">
              <w:rPr>
                <w:b w:val="0"/>
                <w:bCs w:val="0"/>
                <w:sz w:val="20"/>
                <w:szCs w:val="20"/>
              </w:rPr>
              <w:t xml:space="preserve">mit Handlungsoptionen die </w:t>
            </w:r>
            <w:r>
              <w:rPr>
                <w:b w:val="0"/>
                <w:bCs w:val="0"/>
                <w:sz w:val="20"/>
                <w:szCs w:val="20"/>
              </w:rPr>
              <w:t>Praxisanleitung</w:t>
            </w:r>
          </w:p>
        </w:tc>
      </w:tr>
      <w:tr w:rsidR="007B6E1E" w:rsidRPr="00DC34BB" w14:paraId="545069DE" w14:textId="77777777" w:rsidTr="00CE6AE9">
        <w:trPr>
          <w:trHeight w:val="2683"/>
        </w:trPr>
        <w:tc>
          <w:tcPr>
            <w:tcW w:w="7223" w:type="dxa"/>
          </w:tcPr>
          <w:p w14:paraId="499AFE9A" w14:textId="77777777" w:rsidR="007B6E1E" w:rsidRPr="00CD35A6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1500591A" w14:textId="3DC87653" w:rsidR="00E8008E" w:rsidRDefault="00174111" w:rsidP="00174111">
            <w:pPr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 w:rsidRPr="00174111">
              <w:rPr>
                <w:sz w:val="20"/>
              </w:rPr>
              <w:t>ie Schülerinnen und Schüler</w:t>
            </w:r>
            <w:r w:rsidR="00E8008E">
              <w:rPr>
                <w:sz w:val="20"/>
              </w:rPr>
              <w:t>…</w:t>
            </w:r>
          </w:p>
          <w:p w14:paraId="752B3199" w14:textId="46D52077" w:rsidR="00174111" w:rsidRPr="00A95429" w:rsidRDefault="00174111" w:rsidP="006A4380">
            <w:pPr>
              <w:pStyle w:val="Listenabsatz"/>
              <w:numPr>
                <w:ilvl w:val="0"/>
                <w:numId w:val="11"/>
              </w:numPr>
              <w:ind w:left="283" w:hanging="283"/>
              <w:jc w:val="left"/>
              <w:rPr>
                <w:sz w:val="20"/>
              </w:rPr>
            </w:pPr>
            <w:r w:rsidRPr="00A95429">
              <w:rPr>
                <w:sz w:val="20"/>
              </w:rPr>
              <w:t>erörtern auf der Basis ihrer praktischen Erfahrungen mit theoretischen</w:t>
            </w:r>
          </w:p>
          <w:p w14:paraId="73DE96A5" w14:textId="3BF9095C" w:rsidR="00E8008E" w:rsidRPr="00A95429" w:rsidRDefault="00174111" w:rsidP="006A4380">
            <w:pPr>
              <w:pStyle w:val="Listenabsatz"/>
              <w:ind w:left="283"/>
              <w:jc w:val="left"/>
              <w:rPr>
                <w:sz w:val="20"/>
              </w:rPr>
            </w:pPr>
            <w:r w:rsidRPr="00A95429">
              <w:rPr>
                <w:sz w:val="20"/>
              </w:rPr>
              <w:t>Grundlagen die menschliche Entwicklung</w:t>
            </w:r>
            <w:r w:rsidR="00E8008E">
              <w:rPr>
                <w:sz w:val="20"/>
              </w:rPr>
              <w:t xml:space="preserve"> unter Berücksichtigung </w:t>
            </w:r>
            <w:r w:rsidRPr="00A95429">
              <w:rPr>
                <w:sz w:val="20"/>
              </w:rPr>
              <w:t>exemplarisch</w:t>
            </w:r>
            <w:r w:rsidR="00E8008E">
              <w:rPr>
                <w:sz w:val="20"/>
              </w:rPr>
              <w:t>er</w:t>
            </w:r>
            <w:r w:rsidRPr="00A95429">
              <w:rPr>
                <w:sz w:val="20"/>
              </w:rPr>
              <w:t xml:space="preserve"> zentrale</w:t>
            </w:r>
            <w:r w:rsidR="00E8008E">
              <w:rPr>
                <w:sz w:val="20"/>
              </w:rPr>
              <w:t>r</w:t>
            </w:r>
            <w:r w:rsidRPr="00A95429">
              <w:rPr>
                <w:sz w:val="20"/>
              </w:rPr>
              <w:t xml:space="preserve"> Aspekte </w:t>
            </w:r>
            <w:r w:rsidR="00A95429">
              <w:rPr>
                <w:sz w:val="20"/>
              </w:rPr>
              <w:t>im motorischen</w:t>
            </w:r>
            <w:r w:rsidR="00A95429" w:rsidRPr="00A95429">
              <w:rPr>
                <w:sz w:val="20"/>
              </w:rPr>
              <w:t xml:space="preserve"> </w:t>
            </w:r>
            <w:r w:rsidRPr="00A95429">
              <w:rPr>
                <w:sz w:val="20"/>
              </w:rPr>
              <w:t>Entwicklungsbereich sowie Entwicklungsverläufe (Z 1)</w:t>
            </w:r>
          </w:p>
          <w:p w14:paraId="51948C3D" w14:textId="41753FEA" w:rsidR="00174111" w:rsidRPr="00A95429" w:rsidRDefault="00174111" w:rsidP="006A4380">
            <w:pPr>
              <w:pStyle w:val="Listenabsatz"/>
              <w:numPr>
                <w:ilvl w:val="0"/>
                <w:numId w:val="11"/>
              </w:numPr>
              <w:ind w:left="283" w:hanging="283"/>
              <w:jc w:val="left"/>
              <w:rPr>
                <w:sz w:val="20"/>
              </w:rPr>
            </w:pPr>
            <w:r w:rsidRPr="00A95429">
              <w:rPr>
                <w:sz w:val="20"/>
              </w:rPr>
              <w:t>beschreiben menschliches Lernen bzw. Bildungsprozesse anhand verschiedener theoretischer Ansätze (z. B. Konditionierung, Lernen am Modell, Konstruktivismus, neurobiologische Ansätze) (Z 2)</w:t>
            </w:r>
          </w:p>
          <w:p w14:paraId="63ECB5F6" w14:textId="0E13AD4F" w:rsidR="00174111" w:rsidRPr="006A4380" w:rsidRDefault="00174111" w:rsidP="006A4380">
            <w:pPr>
              <w:pStyle w:val="Listenabsatz"/>
              <w:numPr>
                <w:ilvl w:val="0"/>
                <w:numId w:val="11"/>
              </w:numPr>
              <w:ind w:left="283" w:hanging="283"/>
              <w:jc w:val="left"/>
              <w:rPr>
                <w:color w:val="007EC5"/>
                <w:sz w:val="20"/>
              </w:rPr>
            </w:pPr>
            <w:r w:rsidRPr="006A4380">
              <w:rPr>
                <w:color w:val="007EC5"/>
                <w:sz w:val="20"/>
              </w:rPr>
              <w:t>erörtern das Verhältnis von Lern- und Bildungsprozessen auch unter Berücksichtigung digitaler Möglichkeiten (Z 3)</w:t>
            </w:r>
          </w:p>
          <w:p w14:paraId="0B0D8F4A" w14:textId="3F941C49" w:rsidR="00174111" w:rsidRPr="00A95429" w:rsidRDefault="00174111" w:rsidP="006A4380">
            <w:pPr>
              <w:pStyle w:val="Listenabsatz"/>
              <w:numPr>
                <w:ilvl w:val="0"/>
                <w:numId w:val="11"/>
              </w:numPr>
              <w:ind w:left="283" w:hanging="283"/>
              <w:jc w:val="left"/>
              <w:rPr>
                <w:sz w:val="20"/>
              </w:rPr>
            </w:pPr>
            <w:r w:rsidRPr="00A95429">
              <w:rPr>
                <w:sz w:val="20"/>
              </w:rPr>
              <w:t>analysieren realistische pädagogische Situationen unter Rückgriff auf die oben erwähnten fachlichen Bezüge und mit einem mehrperspektivischen Verständnis (Z 4)</w:t>
            </w:r>
          </w:p>
          <w:p w14:paraId="79385BE6" w14:textId="48E5D673" w:rsidR="009331E8" w:rsidRPr="00A95429" w:rsidRDefault="00174111" w:rsidP="006A4380">
            <w:pPr>
              <w:pStyle w:val="Listenabsatz"/>
              <w:numPr>
                <w:ilvl w:val="0"/>
                <w:numId w:val="11"/>
              </w:numPr>
              <w:ind w:left="283" w:hanging="283"/>
              <w:jc w:val="left"/>
            </w:pPr>
            <w:r w:rsidRPr="00A95429">
              <w:rPr>
                <w:sz w:val="20"/>
              </w:rPr>
              <w:t xml:space="preserve">entwickeln auf der Grundlage einer ganzheitlichen Sicht der fachlichen Bezüge begründete und bedürfnisgerechte Handlungsmöglichkeiten für die Begleitung der Klientinnen und Klienten (Z </w:t>
            </w:r>
            <w:r w:rsidR="00A95429">
              <w:rPr>
                <w:sz w:val="20"/>
              </w:rPr>
              <w:t>5</w:t>
            </w:r>
            <w:r w:rsidRPr="00A95429">
              <w:rPr>
                <w:sz w:val="20"/>
              </w:rPr>
              <w:t>)</w:t>
            </w:r>
          </w:p>
        </w:tc>
        <w:tc>
          <w:tcPr>
            <w:tcW w:w="7363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6102053" w14:textId="576024F4" w:rsidR="00B5311C" w:rsidRDefault="00CD78C5" w:rsidP="00A95429">
            <w:pPr>
              <w:pStyle w:val="Tabellenberschrift"/>
              <w:numPr>
                <w:ilvl w:val="0"/>
                <w:numId w:val="12"/>
              </w:numPr>
              <w:tabs>
                <w:tab w:val="clear" w:pos="1418"/>
                <w:tab w:val="left" w:pos="604"/>
              </w:tabs>
              <w:ind w:left="604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Grundlag</w:t>
            </w:r>
            <w:bookmarkStart w:id="0" w:name="_GoBack"/>
            <w:r>
              <w:rPr>
                <w:b w:val="0"/>
                <w:bCs w:val="0"/>
                <w:sz w:val="20"/>
                <w:szCs w:val="20"/>
              </w:rPr>
              <w:t>en der menschlichen Entwicklung</w:t>
            </w:r>
            <w:r w:rsidR="00AB4C60">
              <w:rPr>
                <w:b w:val="0"/>
                <w:bCs w:val="0"/>
                <w:sz w:val="20"/>
                <w:szCs w:val="20"/>
              </w:rPr>
              <w:t xml:space="preserve"> mit Fokus auf mo</w:t>
            </w:r>
            <w:r>
              <w:rPr>
                <w:b w:val="0"/>
                <w:bCs w:val="0"/>
                <w:sz w:val="20"/>
                <w:szCs w:val="20"/>
              </w:rPr>
              <w:t>torische</w:t>
            </w:r>
            <w:r w:rsidR="00C02D99">
              <w:rPr>
                <w:b w:val="0"/>
                <w:bCs w:val="0"/>
                <w:sz w:val="20"/>
                <w:szCs w:val="20"/>
              </w:rPr>
              <w:t>n</w:t>
            </w:r>
            <w:r>
              <w:rPr>
                <w:b w:val="0"/>
                <w:bCs w:val="0"/>
                <w:sz w:val="20"/>
                <w:szCs w:val="20"/>
              </w:rPr>
              <w:t xml:space="preserve"> Bereich unter der Berücksichtigung von abweichenden Entwicklungsverläufen</w:t>
            </w:r>
          </w:p>
          <w:p w14:paraId="306D02FC" w14:textId="222CC6E4" w:rsidR="00CD78C5" w:rsidRDefault="00CD78C5" w:rsidP="00A95429">
            <w:pPr>
              <w:pStyle w:val="Tabellenberschrift"/>
              <w:numPr>
                <w:ilvl w:val="0"/>
                <w:numId w:val="12"/>
              </w:numPr>
              <w:tabs>
                <w:tab w:val="clear" w:pos="1418"/>
                <w:tab w:val="left" w:pos="604"/>
              </w:tabs>
              <w:ind w:left="604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Grundlagen der Lerntheorien: Operante Konditionierung nach B.F. Skinner und Modellernen nach A. Bandura</w:t>
            </w:r>
          </w:p>
          <w:p w14:paraId="0DB72876" w14:textId="5BB3FC60" w:rsidR="00CD78C5" w:rsidRDefault="0079275C" w:rsidP="00A95429">
            <w:pPr>
              <w:pStyle w:val="Tabellenberschrift"/>
              <w:numPr>
                <w:ilvl w:val="0"/>
                <w:numId w:val="12"/>
              </w:numPr>
              <w:tabs>
                <w:tab w:val="clear" w:pos="1418"/>
                <w:tab w:val="left" w:pos="604"/>
              </w:tabs>
              <w:ind w:left="604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Erörterung von Lern- und Bildungsprozessen unter der Berücksichtigung des Einsatzes von digitalen Medien </w:t>
            </w:r>
            <w:r w:rsidR="000F4EF7">
              <w:rPr>
                <w:b w:val="0"/>
                <w:bCs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z w:val="20"/>
                <w:szCs w:val="20"/>
              </w:rPr>
              <w:t>z.</w:t>
            </w:r>
            <w:r w:rsidR="006A4380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B</w:t>
            </w:r>
            <w:r w:rsidR="006A4380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Videografiearbeit</w:t>
            </w:r>
            <w:proofErr w:type="spellEnd"/>
            <w:r w:rsidR="000F4EF7">
              <w:rPr>
                <w:b w:val="0"/>
                <w:bCs w:val="0"/>
                <w:sz w:val="20"/>
                <w:szCs w:val="20"/>
              </w:rPr>
              <w:t xml:space="preserve"> oder</w:t>
            </w:r>
            <w:r w:rsidR="006F5C8D">
              <w:rPr>
                <w:b w:val="0"/>
                <w:bCs w:val="0"/>
                <w:sz w:val="20"/>
                <w:szCs w:val="20"/>
              </w:rPr>
              <w:t xml:space="preserve"> Nutzen von Video</w:t>
            </w:r>
            <w:bookmarkEnd w:id="0"/>
            <w:r w:rsidR="006F5C8D">
              <w:rPr>
                <w:b w:val="0"/>
                <w:bCs w:val="0"/>
                <w:sz w:val="20"/>
                <w:szCs w:val="20"/>
              </w:rPr>
              <w:t>portalen</w:t>
            </w:r>
            <w:r>
              <w:rPr>
                <w:b w:val="0"/>
                <w:bCs w:val="0"/>
                <w:sz w:val="20"/>
                <w:szCs w:val="20"/>
              </w:rPr>
              <w:t xml:space="preserve"> mit Kindern</w:t>
            </w:r>
            <w:r w:rsidR="000F4EF7">
              <w:rPr>
                <w:b w:val="0"/>
                <w:bCs w:val="0"/>
                <w:sz w:val="20"/>
                <w:szCs w:val="20"/>
              </w:rPr>
              <w:t>)</w:t>
            </w:r>
          </w:p>
          <w:p w14:paraId="11626069" w14:textId="77777777" w:rsidR="006F5C8D" w:rsidRPr="00CD78C5" w:rsidRDefault="006F5C8D" w:rsidP="006F5C8D">
            <w:pPr>
              <w:pStyle w:val="Tabellenberschrift"/>
              <w:tabs>
                <w:tab w:val="left" w:pos="708"/>
              </w:tabs>
              <w:ind w:left="720"/>
              <w:rPr>
                <w:b w:val="0"/>
                <w:bCs w:val="0"/>
                <w:sz w:val="20"/>
                <w:szCs w:val="20"/>
              </w:rPr>
            </w:pPr>
          </w:p>
          <w:p w14:paraId="2A6DE0A9" w14:textId="77777777" w:rsidR="00921528" w:rsidRPr="00CE6AE9" w:rsidRDefault="00921528" w:rsidP="00C9773E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06CAB49F" w14:textId="77777777" w:rsidR="006F5C8D" w:rsidRDefault="006F5C8D" w:rsidP="006F5C8D">
            <w:pPr>
              <w:pStyle w:val="Tabellentext"/>
              <w:numPr>
                <w:ilvl w:val="0"/>
                <w:numId w:val="9"/>
              </w:numPr>
            </w:pPr>
            <w:r>
              <w:t>Rollenspiel</w:t>
            </w:r>
          </w:p>
          <w:p w14:paraId="75E73123" w14:textId="77777777" w:rsidR="006F5C8D" w:rsidRDefault="006F5C8D" w:rsidP="006F5C8D">
            <w:pPr>
              <w:pStyle w:val="Tabellentext"/>
              <w:numPr>
                <w:ilvl w:val="0"/>
                <w:numId w:val="9"/>
              </w:numPr>
            </w:pPr>
            <w:r>
              <w:t>Präsentationen</w:t>
            </w:r>
          </w:p>
          <w:p w14:paraId="629CBC6D" w14:textId="4437C1DC" w:rsidR="006F5C8D" w:rsidRDefault="006F5C8D" w:rsidP="006F5C8D">
            <w:pPr>
              <w:pStyle w:val="Tabellentext"/>
              <w:numPr>
                <w:ilvl w:val="0"/>
                <w:numId w:val="9"/>
              </w:numPr>
            </w:pPr>
            <w:r>
              <w:t>Textarbeit</w:t>
            </w:r>
            <w:r w:rsidR="007D5C14">
              <w:t xml:space="preserve">: </w:t>
            </w:r>
            <w:r>
              <w:t>Auswertung und Einsatz von Tabellen zu den Entwicklungsbereichen</w:t>
            </w:r>
          </w:p>
          <w:p w14:paraId="7850DB25" w14:textId="630EA19B" w:rsidR="006F5C8D" w:rsidRDefault="006F5C8D" w:rsidP="006F5C8D">
            <w:pPr>
              <w:pStyle w:val="Tabellentext"/>
              <w:numPr>
                <w:ilvl w:val="0"/>
                <w:numId w:val="9"/>
              </w:numPr>
            </w:pPr>
            <w:r>
              <w:t>Fischgräte</w:t>
            </w:r>
            <w:r w:rsidR="007D5C14">
              <w:t xml:space="preserve"> (Texterschließungsmethode)</w:t>
            </w:r>
          </w:p>
          <w:p w14:paraId="0795ACEA" w14:textId="77777777" w:rsidR="006F5C8D" w:rsidRDefault="006F5C8D" w:rsidP="006F5C8D">
            <w:pPr>
              <w:pStyle w:val="Tabellentext"/>
              <w:numPr>
                <w:ilvl w:val="0"/>
                <w:numId w:val="9"/>
              </w:numPr>
            </w:pPr>
            <w:r>
              <w:t>Lerntempoduett</w:t>
            </w:r>
          </w:p>
          <w:p w14:paraId="0BDDAA85" w14:textId="3801A278" w:rsidR="007D5C14" w:rsidRPr="001E6514" w:rsidRDefault="007D5C14" w:rsidP="006F5C8D">
            <w:pPr>
              <w:pStyle w:val="Tabellentext"/>
              <w:numPr>
                <w:ilvl w:val="0"/>
                <w:numId w:val="9"/>
              </w:numPr>
            </w:pPr>
            <w:r>
              <w:t>Methoden des Feedbackgebens</w:t>
            </w:r>
          </w:p>
        </w:tc>
      </w:tr>
      <w:tr w:rsidR="007B6E1E" w:rsidRPr="001E6514" w14:paraId="6AA1EAA7" w14:textId="77777777" w:rsidTr="000F4EF7">
        <w:trPr>
          <w:trHeight w:val="983"/>
        </w:trPr>
        <w:tc>
          <w:tcPr>
            <w:tcW w:w="14586" w:type="dxa"/>
            <w:gridSpan w:val="2"/>
          </w:tcPr>
          <w:p w14:paraId="1C5B4A34" w14:textId="0743694D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  <w:r w:rsidR="007D5C14">
              <w:rPr>
                <w:sz w:val="20"/>
                <w:szCs w:val="20"/>
              </w:rPr>
              <w:t xml:space="preserve"> z.B.</w:t>
            </w:r>
          </w:p>
          <w:p w14:paraId="753A739F" w14:textId="0582BE7F" w:rsidR="00C9773E" w:rsidRDefault="007D5C14" w:rsidP="007D5C14">
            <w:pPr>
              <w:pStyle w:val="Tabellentext"/>
              <w:numPr>
                <w:ilvl w:val="0"/>
                <w:numId w:val="10"/>
              </w:numPr>
            </w:pPr>
            <w:r>
              <w:t>Gelsenkirchener Entwicklungsbegleiter</w:t>
            </w:r>
          </w:p>
          <w:p w14:paraId="2429B5AC" w14:textId="68E46385" w:rsidR="007D5C14" w:rsidRDefault="007D5C14" w:rsidP="007D5C14">
            <w:pPr>
              <w:pStyle w:val="Tabellentext"/>
              <w:numPr>
                <w:ilvl w:val="0"/>
                <w:numId w:val="10"/>
              </w:numPr>
            </w:pPr>
            <w:r>
              <w:t>Pädagogik Psychologie</w:t>
            </w:r>
          </w:p>
          <w:p w14:paraId="5E728695" w14:textId="020AD700" w:rsidR="007B6E1E" w:rsidRPr="000F4EF7" w:rsidRDefault="007D5C14" w:rsidP="00F810C2">
            <w:pPr>
              <w:pStyle w:val="Tabellentext"/>
              <w:numPr>
                <w:ilvl w:val="0"/>
                <w:numId w:val="10"/>
              </w:numPr>
            </w:pPr>
            <w:r>
              <w:t>Weiter Wissen: Pädagogik, Psychologie und Soziologie</w:t>
            </w: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2416D29" w14:textId="3E490CE0" w:rsidR="007B6E1E" w:rsidRPr="00C9773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lastRenderedPageBreak/>
              <w:t>Organisatorische Hinweise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6A4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082B8" w14:textId="77777777" w:rsidR="00A84654" w:rsidRDefault="00A84654" w:rsidP="007B6E1E">
      <w:pPr>
        <w:spacing w:after="0"/>
      </w:pPr>
      <w:r>
        <w:separator/>
      </w:r>
    </w:p>
  </w:endnote>
  <w:endnote w:type="continuationSeparator" w:id="0">
    <w:p w14:paraId="504AD7A3" w14:textId="77777777" w:rsidR="00A84654" w:rsidRDefault="00A84654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5D4D5" w14:textId="77777777" w:rsidR="00674435" w:rsidRDefault="006744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8BD3" w14:textId="77777777" w:rsidR="00674435" w:rsidRDefault="0067443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DCDE7" w14:textId="77777777" w:rsidR="00674435" w:rsidRDefault="006744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13707" w14:textId="77777777" w:rsidR="00A84654" w:rsidRDefault="00A84654" w:rsidP="007B6E1E">
      <w:pPr>
        <w:spacing w:after="0"/>
      </w:pPr>
      <w:r>
        <w:separator/>
      </w:r>
    </w:p>
  </w:footnote>
  <w:footnote w:type="continuationSeparator" w:id="0">
    <w:p w14:paraId="12EE1E26" w14:textId="77777777" w:rsidR="00A84654" w:rsidRDefault="00A84654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AF58" w14:textId="77777777" w:rsidR="00674435" w:rsidRDefault="006744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62F6A" w14:textId="77777777" w:rsidR="00674435" w:rsidRDefault="006744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5257"/>
    <w:multiLevelType w:val="hybridMultilevel"/>
    <w:tmpl w:val="40F450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 w15:restartNumberingAfterBreak="0">
    <w:nsid w:val="43780904"/>
    <w:multiLevelType w:val="hybridMultilevel"/>
    <w:tmpl w:val="0B8C73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98F6D21"/>
    <w:multiLevelType w:val="hybridMultilevel"/>
    <w:tmpl w:val="A90231A0"/>
    <w:lvl w:ilvl="0" w:tplc="A82ADFAC">
      <w:numFmt w:val="bullet"/>
      <w:lvlText w:val="-"/>
      <w:lvlJc w:val="left"/>
      <w:pPr>
        <w:ind w:left="108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7CC240E"/>
    <w:multiLevelType w:val="hybridMultilevel"/>
    <w:tmpl w:val="DF928502"/>
    <w:lvl w:ilvl="0" w:tplc="A82AD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C3697"/>
    <w:multiLevelType w:val="hybridMultilevel"/>
    <w:tmpl w:val="F5CC21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95748"/>
    <w:rsid w:val="000A2A95"/>
    <w:rsid w:val="000D03F6"/>
    <w:rsid w:val="000D1632"/>
    <w:rsid w:val="000F4EF7"/>
    <w:rsid w:val="0011249D"/>
    <w:rsid w:val="00156E45"/>
    <w:rsid w:val="00174111"/>
    <w:rsid w:val="001A70BD"/>
    <w:rsid w:val="002036E4"/>
    <w:rsid w:val="0020380A"/>
    <w:rsid w:val="00221465"/>
    <w:rsid w:val="00262282"/>
    <w:rsid w:val="00300E9F"/>
    <w:rsid w:val="00363AC6"/>
    <w:rsid w:val="00386C8A"/>
    <w:rsid w:val="003D43C3"/>
    <w:rsid w:val="004140F1"/>
    <w:rsid w:val="0042077B"/>
    <w:rsid w:val="004B381C"/>
    <w:rsid w:val="004F1797"/>
    <w:rsid w:val="004F3C57"/>
    <w:rsid w:val="00546E31"/>
    <w:rsid w:val="005543A2"/>
    <w:rsid w:val="005757BD"/>
    <w:rsid w:val="00667916"/>
    <w:rsid w:val="00674435"/>
    <w:rsid w:val="006A4380"/>
    <w:rsid w:val="006D75D1"/>
    <w:rsid w:val="006F5C8D"/>
    <w:rsid w:val="0072592D"/>
    <w:rsid w:val="00730AA5"/>
    <w:rsid w:val="0079275C"/>
    <w:rsid w:val="007B6E1E"/>
    <w:rsid w:val="007D5C14"/>
    <w:rsid w:val="00921157"/>
    <w:rsid w:val="00921528"/>
    <w:rsid w:val="009331E8"/>
    <w:rsid w:val="00982356"/>
    <w:rsid w:val="0098465C"/>
    <w:rsid w:val="009B3E40"/>
    <w:rsid w:val="00A10556"/>
    <w:rsid w:val="00A50E3D"/>
    <w:rsid w:val="00A84654"/>
    <w:rsid w:val="00A90142"/>
    <w:rsid w:val="00A94580"/>
    <w:rsid w:val="00A95429"/>
    <w:rsid w:val="00AB4C60"/>
    <w:rsid w:val="00AC5865"/>
    <w:rsid w:val="00AD2F04"/>
    <w:rsid w:val="00B5311C"/>
    <w:rsid w:val="00C02D99"/>
    <w:rsid w:val="00C9773E"/>
    <w:rsid w:val="00CB3FAA"/>
    <w:rsid w:val="00CD78C5"/>
    <w:rsid w:val="00CE6AE9"/>
    <w:rsid w:val="00D80963"/>
    <w:rsid w:val="00D90CA8"/>
    <w:rsid w:val="00DC0114"/>
    <w:rsid w:val="00E50AEB"/>
    <w:rsid w:val="00E8008E"/>
    <w:rsid w:val="00E8514D"/>
    <w:rsid w:val="00FC3154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2023-05-17T08:42:00Z</dcterms:created>
  <dcterms:modified xsi:type="dcterms:W3CDTF">2023-05-17T08:42:00Z</dcterms:modified>
</cp:coreProperties>
</file>