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5409BD" w:rsidP="00116797">
            <w:pPr>
              <w:rPr>
                <w:b/>
              </w:rPr>
            </w:pPr>
            <w:r>
              <w:rPr>
                <w:b/>
              </w:rPr>
              <w:t xml:space="preserve">Lernfeld </w:t>
            </w:r>
            <w:r w:rsidR="009F596D">
              <w:rPr>
                <w:b/>
              </w:rPr>
              <w:t>15</w:t>
            </w:r>
            <w:r w:rsidR="008F0F06" w:rsidRPr="00223166">
              <w:rPr>
                <w:b/>
              </w:rPr>
              <w:t xml:space="preserve">: </w:t>
            </w:r>
            <w:r w:rsidR="00116797">
              <w:rPr>
                <w:b/>
                <w:szCs w:val="24"/>
              </w:rPr>
              <w:t xml:space="preserve">Versorgungstechnische Anlagen instand halten </w:t>
            </w:r>
            <w:r w:rsidR="008F0F06">
              <w:rPr>
                <w:b/>
              </w:rPr>
              <w:t>(</w:t>
            </w:r>
            <w:r w:rsidR="00116797">
              <w:rPr>
                <w:b/>
              </w:rPr>
              <w:t>6</w:t>
            </w:r>
            <w:r w:rsidR="008F0F06" w:rsidRPr="00223166">
              <w:rPr>
                <w:b/>
              </w:rPr>
              <w:t>0 UStd.)</w:t>
            </w:r>
            <w:r w:rsidR="00116797">
              <w:rPr>
                <w:b/>
              </w:rPr>
              <w:t xml:space="preserve">  </w:t>
            </w:r>
            <w:r w:rsidR="00BB2016">
              <w:rPr>
                <w:b/>
              </w:rPr>
              <w:tab/>
            </w:r>
            <w:r w:rsidR="00BB2016">
              <w:rPr>
                <w:b/>
              </w:rPr>
              <w:tab/>
            </w:r>
            <w:r>
              <w:rPr>
                <w:b/>
              </w:rPr>
              <w:tab/>
            </w:r>
            <w:r w:rsidR="00BB2016">
              <w:rPr>
                <w:b/>
              </w:rPr>
              <w:tab/>
            </w:r>
            <w:r w:rsidR="00BB2016">
              <w:rPr>
                <w:b/>
              </w:rPr>
              <w:tab/>
            </w:r>
            <w:r w:rsidR="00BB2016">
              <w:rPr>
                <w:b/>
              </w:rPr>
              <w:tab/>
            </w:r>
            <w:r w:rsidR="00D312C6">
              <w:rPr>
                <w:b/>
              </w:rPr>
              <w:tab/>
              <w:t>4</w:t>
            </w:r>
            <w:r w:rsidR="008F0F06">
              <w:rPr>
                <w:b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A84385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A84385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Abfolge der Lernsituationen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A84385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A84385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116797" w:rsidP="008F0F06">
            <w:pPr>
              <w:spacing w:before="60"/>
            </w:pPr>
            <w:r>
              <w:t>15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5" w:rsidRPr="006F3731" w:rsidRDefault="00A84385" w:rsidP="00A84385">
            <w:pPr>
              <w:spacing w:before="60"/>
            </w:pPr>
            <w:r>
              <w:t>Instandhaltung e</w:t>
            </w:r>
            <w:r w:rsidR="00EF7E49">
              <w:t>ine</w:t>
            </w:r>
            <w:r>
              <w:t>r Abwasserh</w:t>
            </w:r>
            <w:r w:rsidR="00EF7E49">
              <w:t>ebeanlage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F7E49" w:rsidP="00A84385">
            <w:pPr>
              <w:spacing w:before="60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714E30" w:rsidRPr="006F3731" w:rsidTr="001A4D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0" w:rsidRPr="006F3731" w:rsidRDefault="00116797" w:rsidP="001A4D93">
            <w:pPr>
              <w:spacing w:before="60"/>
            </w:pPr>
            <w:r>
              <w:t>15</w:t>
            </w:r>
            <w:r w:rsidR="00714E30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85" w:rsidRPr="006F3731" w:rsidRDefault="00A84385" w:rsidP="00A84385">
            <w:pPr>
              <w:spacing w:before="60"/>
            </w:pPr>
            <w:r>
              <w:t>Überprüfung der E</w:t>
            </w:r>
            <w:r w:rsidR="00EF7E49">
              <w:t>instellung einer Gas</w:t>
            </w:r>
            <w:r>
              <w:t>-B</w:t>
            </w:r>
            <w:r w:rsidR="00EF7E49">
              <w:t>rennwerttherme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30" w:rsidRPr="006F3731" w:rsidRDefault="00EF7E49" w:rsidP="00A84385">
            <w:pPr>
              <w:spacing w:before="60"/>
              <w:jc w:val="center"/>
            </w:pPr>
            <w: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14E30" w:rsidRPr="006F3731" w:rsidRDefault="00714E30" w:rsidP="001A4D93">
            <w:pPr>
              <w:spacing w:before="60"/>
              <w:rPr>
                <w:b/>
              </w:rPr>
            </w:pPr>
          </w:p>
        </w:tc>
      </w:tr>
      <w:tr w:rsidR="00D3790C" w:rsidRPr="006F3731" w:rsidTr="001A4D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6F3731" w:rsidRDefault="00116797" w:rsidP="001A4D93">
            <w:pPr>
              <w:spacing w:before="60"/>
            </w:pPr>
            <w:r>
              <w:t>15</w:t>
            </w:r>
            <w:r w:rsidR="00D3790C" w:rsidRPr="006F3731">
              <w:t>.</w:t>
            </w:r>
            <w:r w:rsidR="00D3790C"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0C" w:rsidRPr="006F3731" w:rsidRDefault="00A84385" w:rsidP="004624E5">
            <w:pPr>
              <w:spacing w:before="60"/>
            </w:pPr>
            <w:r>
              <w:t>Wartung e</w:t>
            </w:r>
            <w:r w:rsidR="00EF7E49">
              <w:t>ine</w:t>
            </w:r>
            <w:r w:rsidR="004624E5">
              <w:t>s</w:t>
            </w:r>
            <w:r w:rsidR="00EF7E49">
              <w:t xml:space="preserve"> Ölkessel</w:t>
            </w:r>
            <w:r>
              <w:t>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6F3731" w:rsidRDefault="00EF7E49" w:rsidP="00A84385">
            <w:pPr>
              <w:spacing w:before="60"/>
              <w:jc w:val="center"/>
            </w:pPr>
            <w: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790C" w:rsidRPr="006F3731" w:rsidRDefault="00D3790C" w:rsidP="001A4D93">
            <w:pPr>
              <w:spacing w:before="60"/>
              <w:rPr>
                <w:b/>
              </w:rPr>
            </w:pPr>
          </w:p>
        </w:tc>
      </w:tr>
      <w:tr w:rsidR="00A84385" w:rsidRPr="006F3731" w:rsidTr="001A4D9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5" w:rsidRDefault="00A84385" w:rsidP="001A4D93">
            <w:pPr>
              <w:spacing w:before="60"/>
            </w:pPr>
            <w:r>
              <w:t>15.4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85" w:rsidRDefault="00A84385" w:rsidP="00A84385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85" w:rsidRDefault="00A84385" w:rsidP="00A84385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84385" w:rsidRPr="006F3731" w:rsidRDefault="00A84385" w:rsidP="001A4D93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42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73"/>
      </w:tblGrid>
      <w:tr w:rsidR="008F0F06" w:rsidRPr="00F42B6E" w:rsidTr="005409BD">
        <w:trPr>
          <w:trHeight w:val="1444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A84385" w:rsidRPr="00F42B6E" w:rsidRDefault="00A84385" w:rsidP="00A84385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4. </w:t>
            </w:r>
            <w:r w:rsidRPr="00F42B6E">
              <w:rPr>
                <w:b/>
              </w:rPr>
              <w:t>Ausbildungs</w:t>
            </w:r>
            <w:r>
              <w:rPr>
                <w:b/>
              </w:rPr>
              <w:t>jahr</w:t>
            </w:r>
          </w:p>
          <w:p w:rsidR="00A84385" w:rsidRPr="002D3A9F" w:rsidRDefault="00A84385" w:rsidP="00A84385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rPr>
                <w:b/>
              </w:rPr>
              <w:tab/>
            </w:r>
            <w:r>
              <w:tab/>
              <w:t>Inbetriebnahme und Instandhaltung</w:t>
            </w:r>
          </w:p>
          <w:p w:rsidR="00A84385" w:rsidRPr="00A84385" w:rsidRDefault="00A84385" w:rsidP="00A84385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>Lernfeld 15: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(6</w:t>
            </w:r>
            <w:r w:rsidRPr="007D79A3">
              <w:t>0 UStd</w:t>
            </w:r>
            <w:r w:rsidRPr="00A84385">
              <w:t>.) Versorgungstechnische Anlagen instand halten</w:t>
            </w:r>
          </w:p>
          <w:p w:rsidR="008F0F06" w:rsidRPr="00A84385" w:rsidRDefault="00A84385" w:rsidP="00A84385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Lernsituation 15.1: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624E5">
              <w:t>(</w:t>
            </w:r>
            <w:bookmarkStart w:id="0" w:name="_GoBack"/>
            <w:bookmarkEnd w:id="0"/>
            <w:r>
              <w:t>8</w:t>
            </w:r>
            <w:r w:rsidRPr="002D3A9F">
              <w:t xml:space="preserve"> UStd.) </w:t>
            </w:r>
            <w:r>
              <w:t>Instandhaltung einer Abwasserhebeanlage</w:t>
            </w:r>
          </w:p>
        </w:tc>
      </w:tr>
      <w:tr w:rsidR="008F0F06" w:rsidRPr="00F42B6E" w:rsidTr="005409BD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7D06CC" w:rsidRDefault="00A84385" w:rsidP="00A84385">
            <w:pPr>
              <w:pStyle w:val="Tabellentext"/>
              <w:spacing w:before="0"/>
            </w:pPr>
            <w:r>
              <w:t>I</w:t>
            </w:r>
            <w:r w:rsidR="00EF7E49">
              <w:t xml:space="preserve">m Einfamilienhaus </w:t>
            </w:r>
            <w:r w:rsidR="0043513B">
              <w:t xml:space="preserve">der </w:t>
            </w:r>
            <w:r>
              <w:t xml:space="preserve">Familie Meier </w:t>
            </w:r>
            <w:r w:rsidR="00F625CD">
              <w:t xml:space="preserve">soll </w:t>
            </w:r>
            <w:r w:rsidR="0043513B">
              <w:t xml:space="preserve">eine </w:t>
            </w:r>
            <w:r>
              <w:t>Abwasserhe</w:t>
            </w:r>
            <w:r w:rsidR="00F625CD">
              <w:t>beanlage gewartet werden</w:t>
            </w:r>
            <w:r>
              <w:t>. Da die Familie ein Neukunde ist, liegen noch keine Daten der unbekannten Hebeanlage vor. Weiter soll dem Kunden ein Wartungsvertrag angeboten werden.</w:t>
            </w:r>
          </w:p>
        </w:tc>
        <w:tc>
          <w:tcPr>
            <w:tcW w:w="7273" w:type="dxa"/>
            <w:shd w:val="clear" w:color="auto" w:fill="auto"/>
          </w:tcPr>
          <w:p w:rsidR="00DD563A" w:rsidRDefault="008F0F06" w:rsidP="00DD563A">
            <w:pPr>
              <w:pStyle w:val="Tabellenberschrift"/>
            </w:pPr>
            <w:r w:rsidRPr="007D06CC">
              <w:t>Handlungsprodukt/Lernergebnis</w:t>
            </w:r>
          </w:p>
          <w:p w:rsidR="00DD563A" w:rsidRDefault="00DD563A" w:rsidP="00DD563A">
            <w:pPr>
              <w:pStyle w:val="Tabellenberschrift"/>
              <w:rPr>
                <w:b w:val="0"/>
              </w:rPr>
            </w:pPr>
            <w:r w:rsidRPr="00DD563A">
              <w:rPr>
                <w:b w:val="0"/>
              </w:rPr>
              <w:t>Verschriftlichung eines Arbeit</w:t>
            </w:r>
            <w:r>
              <w:rPr>
                <w:b w:val="0"/>
              </w:rPr>
              <w:t>splans nach Herstellerunterlagen</w:t>
            </w:r>
          </w:p>
          <w:p w:rsidR="00DD563A" w:rsidRPr="00DD563A" w:rsidRDefault="00DA02EB" w:rsidP="00DD563A">
            <w:pPr>
              <w:pStyle w:val="Tabellenberschrift"/>
              <w:rPr>
                <w:b w:val="0"/>
              </w:rPr>
            </w:pPr>
            <w:r w:rsidRPr="00DD563A">
              <w:rPr>
                <w:b w:val="0"/>
              </w:rPr>
              <w:t>Ausfüllen eines Wartungsprotokolls</w:t>
            </w:r>
          </w:p>
          <w:p w:rsidR="000F325D" w:rsidRPr="00DD563A" w:rsidRDefault="000F325D" w:rsidP="00DD563A">
            <w:pPr>
              <w:pStyle w:val="Tabellenberschrift"/>
              <w:rPr>
                <w:b w:val="0"/>
              </w:rPr>
            </w:pPr>
            <w:r w:rsidRPr="00DD563A">
              <w:rPr>
                <w:b w:val="0"/>
              </w:rPr>
              <w:t>Er</w:t>
            </w:r>
            <w:r w:rsidR="00DD563A">
              <w:rPr>
                <w:b w:val="0"/>
              </w:rPr>
              <w:t>läutern von Notwendigkeit und Ablauf einer</w:t>
            </w:r>
            <w:r w:rsidRPr="00DD563A">
              <w:rPr>
                <w:b w:val="0"/>
              </w:rPr>
              <w:t xml:space="preserve"> Wartung</w:t>
            </w:r>
            <w:r w:rsidR="00DD563A">
              <w:rPr>
                <w:b w:val="0"/>
              </w:rPr>
              <w:t xml:space="preserve"> in einem Rollenspiel</w:t>
            </w:r>
          </w:p>
          <w:p w:rsidR="008F0F06" w:rsidRDefault="008F0F06" w:rsidP="008F0F06">
            <w:pPr>
              <w:pStyle w:val="Tabellenberschrift"/>
            </w:pPr>
            <w:r>
              <w:t>ggf. Hinweise zur Lernerfolgsüberprüfung und Leistungsbewertung</w:t>
            </w:r>
          </w:p>
          <w:p w:rsidR="00DD563A" w:rsidRDefault="0000116F" w:rsidP="008F0F06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Reflexion des Rollenspiels</w:t>
            </w:r>
          </w:p>
          <w:p w:rsidR="005B44B7" w:rsidRPr="00A17563" w:rsidRDefault="00DD563A" w:rsidP="00DD563A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Klassenarbeit zum Thema „Vorgehen bei der Wartung versorgungstechnischer Anlagen“</w:t>
            </w:r>
          </w:p>
        </w:tc>
      </w:tr>
      <w:tr w:rsidR="008F0F06" w:rsidRPr="00F42B6E" w:rsidTr="005409BD">
        <w:trPr>
          <w:trHeight w:val="916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A84385" w:rsidRDefault="00A84385" w:rsidP="00A84385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  <w:r>
              <w:t>Die Schülerinnen und Schüler</w:t>
            </w:r>
          </w:p>
          <w:p w:rsidR="00DD563A" w:rsidRDefault="00840080" w:rsidP="00DD563A">
            <w:pPr>
              <w:pStyle w:val="Tabellenspiegelstrich"/>
              <w:jc w:val="left"/>
            </w:pPr>
            <w:r>
              <w:t>a</w:t>
            </w:r>
            <w:r w:rsidR="00DD563A">
              <w:t>nalysieren</w:t>
            </w:r>
            <w:r>
              <w:t xml:space="preserve"> Typenschild</w:t>
            </w:r>
            <w:r w:rsidR="00DD563A">
              <w:t>er unbekannter versorgungstechnischer Anlagen.</w:t>
            </w:r>
          </w:p>
          <w:p w:rsidR="008F0F06" w:rsidRDefault="00840080" w:rsidP="00DD563A">
            <w:pPr>
              <w:pStyle w:val="Tabellenspiegelstrich"/>
              <w:jc w:val="left"/>
            </w:pPr>
            <w:r>
              <w:t xml:space="preserve">recherchieren </w:t>
            </w:r>
            <w:r w:rsidR="00DD563A">
              <w:t>Wartungsaufgaben mit Hilfe von</w:t>
            </w:r>
            <w:r>
              <w:t xml:space="preserve"> Herstellerunterlagen</w:t>
            </w:r>
            <w:r w:rsidR="00DD563A">
              <w:t>.</w:t>
            </w:r>
          </w:p>
          <w:p w:rsidR="008F0F06" w:rsidRDefault="00DD563A" w:rsidP="00F42B6E">
            <w:pPr>
              <w:pStyle w:val="Tabellenspiegelstrich"/>
              <w:jc w:val="left"/>
            </w:pPr>
            <w:r>
              <w:t>beschreiben Aufbau und Funktion zu wartender Anlagen.</w:t>
            </w:r>
          </w:p>
          <w:p w:rsidR="000F325D" w:rsidRDefault="00DD563A" w:rsidP="000F325D">
            <w:pPr>
              <w:pStyle w:val="Tabellenspiegelstrich"/>
              <w:jc w:val="left"/>
            </w:pPr>
            <w:r>
              <w:t>wählen</w:t>
            </w:r>
            <w:r w:rsidR="000F325D">
              <w:t xml:space="preserve"> erforderlichen Werkzeuge </w:t>
            </w:r>
            <w:r>
              <w:t>zur Instandhaltung aus.</w:t>
            </w:r>
          </w:p>
          <w:p w:rsidR="00753894" w:rsidRPr="007D06CC" w:rsidRDefault="00753894" w:rsidP="004B5500">
            <w:pPr>
              <w:pStyle w:val="Tabellenspiegelstrich"/>
              <w:jc w:val="left"/>
            </w:pPr>
            <w:r>
              <w:t>beraten de</w:t>
            </w:r>
            <w:r w:rsidR="00101BE7">
              <w:t>n</w:t>
            </w:r>
            <w:r>
              <w:t xml:space="preserve"> Kunden bezüglich der Wartungsintervalle</w:t>
            </w:r>
            <w:r w:rsidR="00DD563A">
              <w:t>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8F0F06" w:rsidRDefault="00DD563A" w:rsidP="00F42B6E">
            <w:pPr>
              <w:pStyle w:val="Tabellenspiegelstrich"/>
              <w:jc w:val="left"/>
            </w:pPr>
            <w:r>
              <w:t>Überprüfung baulicher Gegebenheiten; hier die Rückstauebene</w:t>
            </w:r>
          </w:p>
          <w:p w:rsidR="00DA02EB" w:rsidRDefault="004B5500" w:rsidP="00F42B6E">
            <w:pPr>
              <w:pStyle w:val="Tabellenspiegelstrich"/>
              <w:jc w:val="left"/>
            </w:pPr>
            <w:r>
              <w:t>Identifizierung von zu wartenden A</w:t>
            </w:r>
            <w:r w:rsidR="00DA02EB">
              <w:t>nlagen</w:t>
            </w:r>
          </w:p>
          <w:p w:rsidR="00DA02EB" w:rsidRDefault="004B5500" w:rsidP="00F42B6E">
            <w:pPr>
              <w:pStyle w:val="Tabellenspiegelstrich"/>
              <w:jc w:val="left"/>
            </w:pPr>
            <w:r>
              <w:t xml:space="preserve">Festlegung der </w:t>
            </w:r>
            <w:r w:rsidR="00DA02EB">
              <w:t xml:space="preserve">Arbeitsschritte </w:t>
            </w:r>
            <w:r>
              <w:t xml:space="preserve">zur </w:t>
            </w:r>
            <w:r w:rsidR="00DA02EB">
              <w:t xml:space="preserve">der Wartung einer </w:t>
            </w:r>
            <w:r>
              <w:t>Abwasserhebe</w:t>
            </w:r>
            <w:r w:rsidR="00DA02EB">
              <w:t>anlage</w:t>
            </w:r>
          </w:p>
          <w:p w:rsidR="008F0F06" w:rsidRDefault="004B5500" w:rsidP="000F325D">
            <w:pPr>
              <w:pStyle w:val="Tabellenspiegelstrich"/>
              <w:jc w:val="left"/>
            </w:pPr>
            <w:r>
              <w:t>Funktionsprüfung einer Abwasserhebe</w:t>
            </w:r>
            <w:r w:rsidR="000F325D">
              <w:t>anlage</w:t>
            </w:r>
          </w:p>
          <w:p w:rsidR="0043513B" w:rsidRDefault="004B5500" w:rsidP="000F325D">
            <w:pPr>
              <w:pStyle w:val="Tabellenspiegelstrich"/>
              <w:jc w:val="left"/>
            </w:pPr>
            <w:r>
              <w:t xml:space="preserve">Definition der </w:t>
            </w:r>
            <w:r w:rsidR="0043513B">
              <w:t>Wartungsintervalle nach DIN EN 12056</w:t>
            </w:r>
          </w:p>
          <w:p w:rsidR="00DD563A" w:rsidRPr="007D06CC" w:rsidRDefault="00DD563A" w:rsidP="000F325D">
            <w:pPr>
              <w:pStyle w:val="Tabellenspiegelstrich"/>
              <w:jc w:val="left"/>
            </w:pPr>
            <w:r>
              <w:t>Anlegen einer Kundendatei</w:t>
            </w:r>
          </w:p>
        </w:tc>
      </w:tr>
      <w:tr w:rsidR="008F0F06" w:rsidRPr="00F42B6E" w:rsidTr="005409BD">
        <w:trPr>
          <w:trHeight w:val="572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4B5500" w:rsidRDefault="008F0F06" w:rsidP="004B5500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4B5500" w:rsidRDefault="004B5500" w:rsidP="004B5500">
            <w:pPr>
              <w:pStyle w:val="Tabellenspiegelstrich"/>
              <w:jc w:val="left"/>
            </w:pPr>
            <w:r>
              <w:t>Durchführung eines Rollenspiels zum Kundendialog</w:t>
            </w:r>
          </w:p>
          <w:p w:rsidR="000F325D" w:rsidRPr="004B5500" w:rsidRDefault="004B5500" w:rsidP="00F42B6E">
            <w:pPr>
              <w:pStyle w:val="Tabellenspiegelstrich"/>
              <w:jc w:val="left"/>
            </w:pPr>
            <w:r>
              <w:t>Erstellung eines Arbeitsplans in Form eines Ablaufdiagramms</w:t>
            </w:r>
          </w:p>
        </w:tc>
      </w:tr>
      <w:tr w:rsidR="008F0F06" w:rsidRPr="00F42B6E" w:rsidTr="005409BD">
        <w:trPr>
          <w:trHeight w:val="535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0F325D" w:rsidRPr="000F325D" w:rsidRDefault="000F325D" w:rsidP="0075389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Herstellerunterlagen</w:t>
            </w:r>
            <w:r w:rsidR="004B5500">
              <w:rPr>
                <w:b w:val="0"/>
              </w:rPr>
              <w:t xml:space="preserve"> von Abwassergebeanlagen</w:t>
            </w:r>
            <w:r>
              <w:rPr>
                <w:b w:val="0"/>
              </w:rPr>
              <w:t xml:space="preserve">, </w:t>
            </w:r>
            <w:r w:rsidR="004B5500">
              <w:rPr>
                <w:b w:val="0"/>
              </w:rPr>
              <w:t xml:space="preserve">Informationen zu Wartungstätigkeiten aus dem </w:t>
            </w:r>
            <w:r w:rsidR="00753894">
              <w:rPr>
                <w:b w:val="0"/>
              </w:rPr>
              <w:t>Internet</w:t>
            </w:r>
          </w:p>
        </w:tc>
      </w:tr>
      <w:tr w:rsidR="008F0F06" w:rsidRPr="00F42B6E" w:rsidTr="005409BD">
        <w:trPr>
          <w:trHeight w:val="656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A17563" w:rsidRPr="00C3497F" w:rsidRDefault="004B5500" w:rsidP="00F42B6E">
            <w:pPr>
              <w:pStyle w:val="Tabellentext"/>
              <w:spacing w:before="0"/>
            </w:pPr>
            <w:r>
              <w:t>Arbeit an einer r</w:t>
            </w:r>
            <w:r w:rsidR="00753894" w:rsidRPr="007D61D1">
              <w:t>eale</w:t>
            </w:r>
            <w:r>
              <w:t>n</w:t>
            </w:r>
            <w:r w:rsidR="00753894" w:rsidRPr="007D61D1">
              <w:t xml:space="preserve"> Hebeanlage (Exponat)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116F"/>
    <w:rsid w:val="00034AA6"/>
    <w:rsid w:val="00074720"/>
    <w:rsid w:val="000A6A40"/>
    <w:rsid w:val="000F325D"/>
    <w:rsid w:val="00101BE7"/>
    <w:rsid w:val="00115A4D"/>
    <w:rsid w:val="00116797"/>
    <w:rsid w:val="00186B00"/>
    <w:rsid w:val="00194033"/>
    <w:rsid w:val="001A74A4"/>
    <w:rsid w:val="00213FF0"/>
    <w:rsid w:val="002E1161"/>
    <w:rsid w:val="00302B8A"/>
    <w:rsid w:val="00325DA0"/>
    <w:rsid w:val="00365771"/>
    <w:rsid w:val="003D7CC4"/>
    <w:rsid w:val="0043513B"/>
    <w:rsid w:val="004624E5"/>
    <w:rsid w:val="004B5500"/>
    <w:rsid w:val="004D087B"/>
    <w:rsid w:val="00513232"/>
    <w:rsid w:val="005409BD"/>
    <w:rsid w:val="005B44B7"/>
    <w:rsid w:val="005B7DF7"/>
    <w:rsid w:val="0060243E"/>
    <w:rsid w:val="006342AF"/>
    <w:rsid w:val="00714E30"/>
    <w:rsid w:val="00753894"/>
    <w:rsid w:val="0079381D"/>
    <w:rsid w:val="007B08A5"/>
    <w:rsid w:val="007D61D1"/>
    <w:rsid w:val="008072FE"/>
    <w:rsid w:val="00840080"/>
    <w:rsid w:val="00867001"/>
    <w:rsid w:val="008705F0"/>
    <w:rsid w:val="00877CFC"/>
    <w:rsid w:val="008949D5"/>
    <w:rsid w:val="008A764C"/>
    <w:rsid w:val="008F0F06"/>
    <w:rsid w:val="0098712D"/>
    <w:rsid w:val="009B1C03"/>
    <w:rsid w:val="009E534B"/>
    <w:rsid w:val="009F2E69"/>
    <w:rsid w:val="009F4616"/>
    <w:rsid w:val="009F596D"/>
    <w:rsid w:val="00A13C80"/>
    <w:rsid w:val="00A1600B"/>
    <w:rsid w:val="00A17563"/>
    <w:rsid w:val="00A84385"/>
    <w:rsid w:val="00A90D03"/>
    <w:rsid w:val="00AB2FE4"/>
    <w:rsid w:val="00AE35E5"/>
    <w:rsid w:val="00B13349"/>
    <w:rsid w:val="00B601F7"/>
    <w:rsid w:val="00B65D99"/>
    <w:rsid w:val="00BA2307"/>
    <w:rsid w:val="00BA27C7"/>
    <w:rsid w:val="00BB090E"/>
    <w:rsid w:val="00BB2016"/>
    <w:rsid w:val="00C9035C"/>
    <w:rsid w:val="00C97EBE"/>
    <w:rsid w:val="00CC3B6E"/>
    <w:rsid w:val="00CF0EC6"/>
    <w:rsid w:val="00D20790"/>
    <w:rsid w:val="00D312C6"/>
    <w:rsid w:val="00D35070"/>
    <w:rsid w:val="00D354FB"/>
    <w:rsid w:val="00D3790C"/>
    <w:rsid w:val="00D52B30"/>
    <w:rsid w:val="00DA02EB"/>
    <w:rsid w:val="00DD563A"/>
    <w:rsid w:val="00DF36D4"/>
    <w:rsid w:val="00E0575D"/>
    <w:rsid w:val="00E854A9"/>
    <w:rsid w:val="00EB4F73"/>
    <w:rsid w:val="00ED1367"/>
    <w:rsid w:val="00EF7E49"/>
    <w:rsid w:val="00F17BE8"/>
    <w:rsid w:val="00F34F2A"/>
    <w:rsid w:val="00F42B6E"/>
    <w:rsid w:val="00F61AA1"/>
    <w:rsid w:val="00F625CD"/>
    <w:rsid w:val="00F80C3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2A7B-BDCD-437E-AD0B-85D7BDDD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D405A4CB.dotm</Template>
  <TotalTime>0</TotalTime>
  <Pages>2</Pages>
  <Words>263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 Hoffmann</cp:lastModifiedBy>
  <cp:revision>5</cp:revision>
  <cp:lastPrinted>2013-05-27T08:53:00Z</cp:lastPrinted>
  <dcterms:created xsi:type="dcterms:W3CDTF">2016-06-21T06:26:00Z</dcterms:created>
  <dcterms:modified xsi:type="dcterms:W3CDTF">2016-09-13T11:46:00Z</dcterms:modified>
</cp:coreProperties>
</file>